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2855"/>
          <w:sz w:val="56"/>
        </w:rPr>
        <w:t>UTAH PUBLIC SECTOR</w:t>
        <w:br/>
        <w:t>CYBERSECURITY BUDGET</w:t>
        <w:br/>
        <w:t>JUSTIFICATION</w:t>
      </w:r>
    </w:p>
    <w:p/>
    <w:p>
      <w:pPr>
        <w:jc w:val="center"/>
      </w:pPr>
      <w:r>
        <w:rPr>
          <w:color w:val="F05023"/>
          <w:sz w:val="32"/>
        </w:rPr>
        <w:t>Supporting Documentation</w:t>
      </w:r>
    </w:p>
    <w:p/>
    <w:p>
      <w:pPr>
        <w:jc w:val="center"/>
      </w:pPr>
      <w:r>
        <w:rPr>
          <w:i/>
          <w:color w:val="50565B"/>
          <w:sz w:val="36"/>
        </w:rPr>
        <w:t>[ENTITY NAME]</w:t>
      </w:r>
    </w:p>
    <w:p/>
    <w:p>
      <w:pPr>
        <w:jc w:val="center"/>
      </w:pPr>
      <w:r>
        <w:rPr>
          <w:sz w:val="28"/>
        </w:rPr>
        <w:t>Fiscal Year 2025-2026</w:t>
      </w:r>
    </w:p>
    <w:p/>
    <w:p>
      <w:pPr>
        <w:jc w:val="center"/>
      </w:pPr>
      <w:r>
        <w:rPr>
          <w:color w:val="50565B"/>
          <w:sz w:val="22"/>
        </w:rPr>
        <w:t>Prepared by: [IT DIRECTOR NAME]</w:t>
        <w:br/>
        <w:t>Date: [DATE]</w:t>
      </w:r>
    </w:p>
    <w:p>
      <w:r>
        <w:br w:type="page"/>
      </w:r>
    </w:p>
    <w:p>
      <w:pPr>
        <w:pStyle w:val="Heading1"/>
      </w:pPr>
      <w:r>
        <w:rPr>
          <w:b/>
          <w:color w:val="002855"/>
          <w:sz w:val="48"/>
        </w:rPr>
        <w:t>Table of Contents</w:t>
      </w:r>
    </w:p>
    <w:p>
      <w:pPr>
        <w:pStyle w:val="ListBullet"/>
      </w:pPr>
      <w:r>
        <w:t>1. Executive Summary</w:t>
      </w:r>
    </w:p>
    <w:p>
      <w:pPr>
        <w:pStyle w:val="ListBullet"/>
      </w:pPr>
      <w:r>
        <w:t>2. Detailed Budget Narrative</w:t>
      </w:r>
    </w:p>
    <w:p>
      <w:pPr>
        <w:pStyle w:val="ListBullet"/>
      </w:pPr>
      <w:r>
        <w:t xml:space="preserve">   2.1 Identity &amp; Access Management</w:t>
      </w:r>
    </w:p>
    <w:p>
      <w:pPr>
        <w:pStyle w:val="ListBullet"/>
      </w:pPr>
      <w:r>
        <w:t xml:space="preserve">   2.2 Endpoint Security</w:t>
      </w:r>
    </w:p>
    <w:p>
      <w:pPr>
        <w:pStyle w:val="ListBullet"/>
      </w:pPr>
      <w:r>
        <w:t xml:space="preserve">   2.3 Network Security</w:t>
      </w:r>
    </w:p>
    <w:p>
      <w:pPr>
        <w:pStyle w:val="ListBullet"/>
      </w:pPr>
      <w:r>
        <w:t xml:space="preserve">   2.4 Data Protection</w:t>
      </w:r>
    </w:p>
    <w:p>
      <w:pPr>
        <w:pStyle w:val="ListBullet"/>
      </w:pPr>
      <w:r>
        <w:t xml:space="preserve">   2.5 Security Awareness Training</w:t>
      </w:r>
    </w:p>
    <w:p>
      <w:pPr>
        <w:pStyle w:val="ListBullet"/>
      </w:pPr>
      <w:r>
        <w:t xml:space="preserve">   2.6 Incident Response &amp; Monitoring</w:t>
      </w:r>
    </w:p>
    <w:p>
      <w:pPr>
        <w:pStyle w:val="ListBullet"/>
      </w:pPr>
      <w:r>
        <w:t>3. Line-Item Justifications</w:t>
      </w:r>
    </w:p>
    <w:p>
      <w:pPr>
        <w:pStyle w:val="ListBullet"/>
      </w:pPr>
      <w:r>
        <w:t>4. Sample RFP Language</w:t>
      </w:r>
    </w:p>
    <w:p>
      <w:pPr>
        <w:pStyle w:val="ListBullet"/>
      </w:pPr>
      <w:r>
        <w:t xml:space="preserve">   4.1 Multi-Factor Authentication</w:t>
      </w:r>
    </w:p>
    <w:p>
      <w:pPr>
        <w:pStyle w:val="ListBullet"/>
      </w:pPr>
      <w:r>
        <w:t xml:space="preserve">   4.2 Endpoint Detection &amp; Response</w:t>
      </w:r>
    </w:p>
    <w:p>
      <w:pPr>
        <w:pStyle w:val="ListBullet"/>
      </w:pPr>
      <w:r>
        <w:t xml:space="preserve">   4.3 Email Security Gateway</w:t>
      </w:r>
    </w:p>
    <w:p>
      <w:pPr>
        <w:pStyle w:val="ListBullet"/>
      </w:pPr>
      <w:r>
        <w:t xml:space="preserve">   4.4 Backup &amp; Disaster Recovery</w:t>
      </w:r>
    </w:p>
    <w:p>
      <w:pPr>
        <w:pStyle w:val="ListBullet"/>
      </w:pPr>
      <w:r>
        <w:t>5. Grant Funding Resources</w:t>
      </w:r>
    </w:p>
    <w:p>
      <w:pPr>
        <w:pStyle w:val="ListBullet"/>
      </w:pPr>
      <w:r>
        <w:t>6. Appendices</w:t>
      </w:r>
    </w:p>
    <w:p>
      <w:r>
        <w:br w:type="page"/>
      </w:r>
    </w:p>
    <w:p>
      <w:pPr>
        <w:pBdr>
          <w:top w:val="single" w:sz="12" w:space="4" w:color="B39700"/>
          <w:left w:val="single" w:sz="12" w:space="4" w:color="B39700"/>
          <w:bottom w:val="single" w:sz="12" w:space="4" w:color="B39700"/>
          <w:right w:val="single" w:sz="12" w:space="4" w:color="B39700"/>
        </w:pBdr>
        <w:shd w:val="clear" w:color="auto" w:fill="FFF8E1"/>
        <w:spacing w:after="0"/>
      </w:pPr>
      <w:r>
        <w:rPr>
          <w:b/>
          <w:color w:val="002855"/>
          <w:sz w:val="24"/>
        </w:rPr>
        <w:t>Legislative Note: HB 42 → HB 44</w:t>
      </w:r>
    </w:p>
    <w:p>
      <w:pPr>
        <w:pBdr>
          <w:top w:val="single" w:sz="12" w:space="4" w:color="B39700"/>
          <w:left w:val="single" w:sz="12" w:space="4" w:color="B39700"/>
          <w:bottom w:val="single" w:sz="12" w:space="4" w:color="B39700"/>
          <w:right w:val="single" w:sz="12" w:space="4" w:color="B39700"/>
        </w:pBdr>
        <w:shd w:val="clear" w:color="auto" w:fill="FFF8E1"/>
        <w:spacing w:after="0"/>
      </w:pPr>
      <w:r>
        <w:rPr>
          <w:sz w:val="20"/>
        </w:rPr>
        <w:t>During the 2026 Utah legislative session, HB 42’s (School Cybersecurity Amendments) cybersecurity provisions were merged into HB 44 (School Security Personnel Standards) via a 7th Substitute (S07), enrolled March 12, 2026. Under HB 44 S07, the Cybersecurity Commission will establish minimum standards and implementation timelines through rulemaking, rather than requirements being hard-coded in statute. All references in this document have been updated accordingly.</w:t>
      </w:r>
    </w:p>
    <w:p>
      <w:pPr>
        <w:pBdr>
          <w:top w:val="single" w:sz="12" w:space="4" w:color="B39700"/>
          <w:left w:val="single" w:sz="12" w:space="4" w:color="B39700"/>
          <w:bottom w:val="single" w:sz="12" w:space="4" w:color="B39700"/>
          <w:right w:val="single" w:sz="12" w:space="4" w:color="B39700"/>
        </w:pBdr>
        <w:shd w:val="clear" w:color="auto" w:fill="FFF8E1"/>
        <w:spacing w:after="240"/>
      </w:pPr>
      <w:r>
        <w:rPr>
          <w:i/>
          <w:color w:val="666666"/>
          <w:sz w:val="20"/>
        </w:rPr>
        <w:t>The practical guidance, templates, and budget categories in this document remain best practices regardless of the exact statutory mechanism. Monitor utahcyberalliance.org for Commission rulemaking updates.</w:t>
      </w:r>
    </w:p>
    <w:p/>
    <w:p>
      <w:pPr>
        <w:pStyle w:val="Heading1"/>
      </w:pPr>
      <w:r>
        <w:rPr>
          <w:b/>
          <w:color w:val="002855"/>
          <w:sz w:val="48"/>
        </w:rPr>
        <w:t>1. Executive Summary</w:t>
      </w:r>
    </w:p>
    <w:p>
      <w:r>
        <w:t>This document provides detailed supporting information for the cybersecurity budget request submitted by [ENTITY NAME] for Fiscal Year 2025-2026. The requested investment of $[AMOUNT] will establish a comprehensive security program that protects our students, staff, and operations while ensuring compliance with Utah House Bill 44 (HB 44, formerly HB 42) and other applicable regulations.</w:t>
      </w:r>
    </w:p>
    <w:p>
      <w:pPr>
        <w:pStyle w:val="Heading2"/>
      </w:pPr>
      <w:r>
        <w:rPr>
          <w:b/>
          <w:color w:val="002855"/>
          <w:sz w:val="36"/>
        </w:rPr>
        <w:t>The Business Case</w:t>
      </w:r>
    </w:p>
    <w:p>
      <w:r>
        <w:t>Utah public sector entities face an unprecedented level of cybersecurity threats. In 2023-2024 alone, over 15 ransomware attacks hit Utah schools, affecting more than 200,000 students. The average cost of a data breach in the education sector now exceeds $3.79 million (IBM 2024).</w:t>
      </w:r>
    </w:p>
    <w:p>
      <w:r>
        <w:t>HB 44 establishes cybersecurity requirements for all Local Education Agencies (LEAs) in Utah, with implementation timelines to be established by the Cybersecurity Commission based on LEA size, risk, and resources. Specific standards will be defined through Commission rulemaking. Failure to meet these requirements could result in loss of funding eligibility and increased liability.</w:t>
      </w:r>
    </w:p>
    <w:p>
      <w:pPr>
        <w:pStyle w:val="Heading2"/>
      </w:pPr>
      <w:r>
        <w:rPr>
          <w:b/>
          <w:color w:val="002855"/>
          <w:sz w:val="36"/>
        </w:rPr>
        <w:t>Investment Overview</w:t>
      </w:r>
    </w:p>
    <w:tbl>
      <w:tblPr>
        <w:tblStyle w:val="LightGrid-Accent1"/>
        <w:tblW w:type="auto" w:w="0"/>
        <w:tblLook w:firstColumn="1" w:firstRow="1" w:lastColumn="0" w:lastRow="0" w:noHBand="0" w:noVBand="1" w:val="04A0"/>
      </w:tblPr>
      <w:tblGrid>
        <w:gridCol w:w="4320"/>
        <w:gridCol w:w="4320"/>
      </w:tblGrid>
      <w:tr>
        <w:tc>
          <w:tcPr>
            <w:tcW w:type="dxa" w:w="4320"/>
          </w:tcPr>
          <w:p>
            <w:r>
              <w:t>Total Investment Requested</w:t>
            </w:r>
          </w:p>
        </w:tc>
        <w:tc>
          <w:tcPr>
            <w:tcW w:type="dxa" w:w="4320"/>
          </w:tcPr>
          <w:p>
            <w:r>
              <w:t>$[AMOUNT]</w:t>
            </w:r>
          </w:p>
        </w:tc>
      </w:tr>
      <w:tr>
        <w:tc>
          <w:tcPr>
            <w:tcW w:type="dxa" w:w="4320"/>
          </w:tcPr>
          <w:p>
            <w:r>
              <w:t>One-Time Costs</w:t>
            </w:r>
          </w:p>
        </w:tc>
        <w:tc>
          <w:tcPr>
            <w:tcW w:type="dxa" w:w="4320"/>
          </w:tcPr>
          <w:p>
            <w:r>
              <w:t>$[X]</w:t>
            </w:r>
          </w:p>
        </w:tc>
      </w:tr>
      <w:tr>
        <w:tc>
          <w:tcPr>
            <w:tcW w:type="dxa" w:w="4320"/>
          </w:tcPr>
          <w:p>
            <w:r>
              <w:t>Annual Recurring Costs</w:t>
            </w:r>
          </w:p>
        </w:tc>
        <w:tc>
          <w:tcPr>
            <w:tcW w:type="dxa" w:w="4320"/>
          </w:tcPr>
          <w:p>
            <w:r>
              <w:t>$[X]</w:t>
            </w:r>
          </w:p>
        </w:tc>
      </w:tr>
    </w:tbl>
    <w:p/>
    <w:p>
      <w:r>
        <w:t>This investment delivers an estimated 80% reduction in cybersecurity risk and ensures full compliance with HB 44 requirements. Based on industry research showing that every $1 invested in cybersecurity saves $6 in potential losses, this investment provides significant cost avoidance over a 5-year period.</w:t>
      </w:r>
    </w:p>
    <w:p>
      <w:r>
        <w:br w:type="page"/>
      </w:r>
    </w:p>
    <w:p>
      <w:pPr>
        <w:pStyle w:val="Heading1"/>
      </w:pPr>
      <w:r>
        <w:rPr>
          <w:b/>
          <w:color w:val="002855"/>
          <w:sz w:val="48"/>
        </w:rPr>
        <w:t>2. Detailed Budget Narrative</w:t>
      </w:r>
    </w:p>
    <w:p>
      <w:r>
        <w:t>The following sections provide detailed justifications for each major budget category. Each investment area addresses specific risks and aligns with HB 44 requirements.</w:t>
      </w:r>
    </w:p>
    <w:p>
      <w:pPr>
        <w:pStyle w:val="Heading2"/>
      </w:pPr>
      <w:r>
        <w:rPr>
          <w:b/>
          <w:color w:val="002855"/>
          <w:sz w:val="36"/>
        </w:rPr>
        <w:t>2.1 Identity &amp; Access Management</w:t>
      </w:r>
    </w:p>
    <w:p>
      <w:pPr>
        <w:pStyle w:val="Heading3"/>
      </w:pPr>
      <w:r>
        <w:rPr>
          <w:b/>
          <w:color w:val="50565B"/>
          <w:sz w:val="28"/>
        </w:rPr>
        <w:t>Investment: $[X]</w:t>
      </w:r>
    </w:p>
    <w:p>
      <w:r>
        <w:t>Proposed Solutions:</w:t>
      </w:r>
    </w:p>
    <w:p>
      <w:pPr>
        <w:pStyle w:val="ListBullet"/>
      </w:pPr>
      <w:r>
        <w:t>Multi-Factor Authentication (MFA) deployment across all systems</w:t>
      </w:r>
    </w:p>
    <w:p>
      <w:pPr>
        <w:pStyle w:val="ListBullet"/>
      </w:pPr>
      <w:r>
        <w:t>Single Sign-On (SSO) implementation</w:t>
      </w:r>
    </w:p>
    <w:p>
      <w:pPr>
        <w:pStyle w:val="ListBullet"/>
      </w:pPr>
      <w:r>
        <w:t>Privileged Access Management (PAM) for administrative accounts</w:t>
      </w:r>
    </w:p>
    <w:p/>
    <w:p>
      <w:r>
        <w:t>Justification: Credential theft is the leading cause of data breaches. MFA prevents 99.9% of account compromise attacks. HB 44 requires access controls, and this investment ensures compliance while dramatically reducing risk.</w:t>
      </w:r>
    </w:p>
    <w:p/>
    <w:p>
      <w:r>
        <w:t>Expected Outcomes:</w:t>
      </w:r>
    </w:p>
    <w:p>
      <w:pPr>
        <w:pStyle w:val="ListBullet"/>
      </w:pPr>
      <w:r>
        <w:t>Elimination of credential-based attacks</w:t>
      </w:r>
    </w:p>
    <w:p>
      <w:pPr>
        <w:pStyle w:val="ListBullet"/>
      </w:pPr>
      <w:r>
        <w:t>Simplified user experience through SSO</w:t>
      </w:r>
    </w:p>
    <w:p>
      <w:pPr>
        <w:pStyle w:val="ListBullet"/>
      </w:pPr>
      <w:r>
        <w:t>Enhanced visibility into privileged account usage</w:t>
      </w:r>
    </w:p>
    <w:p>
      <w:pPr>
        <w:pStyle w:val="ListBullet"/>
      </w:pPr>
      <w:r>
        <w:t>Full HB 44 access control compliance</w:t>
      </w:r>
    </w:p>
    <w:p>
      <w:pPr>
        <w:pStyle w:val="Heading2"/>
      </w:pPr>
      <w:r>
        <w:rPr>
          <w:b/>
          <w:color w:val="002855"/>
          <w:sz w:val="36"/>
        </w:rPr>
        <w:t>2.2 Endpoint Security</w:t>
      </w:r>
    </w:p>
    <w:p>
      <w:pPr>
        <w:pStyle w:val="Heading3"/>
      </w:pPr>
      <w:r>
        <w:rPr>
          <w:b/>
          <w:color w:val="50565B"/>
          <w:sz w:val="28"/>
        </w:rPr>
        <w:t>Investment: $[X]</w:t>
      </w:r>
    </w:p>
    <w:p>
      <w:r>
        <w:t>Proposed Solutions:</w:t>
      </w:r>
    </w:p>
    <w:p>
      <w:pPr>
        <w:pStyle w:val="ListBullet"/>
      </w:pPr>
      <w:r>
        <w:t>Endpoint Detection &amp; Response (EDR) platform</w:t>
      </w:r>
    </w:p>
    <w:p>
      <w:pPr>
        <w:pStyle w:val="ListBullet"/>
      </w:pPr>
      <w:r>
        <w:t>Mobile Device Management (MDM) for all district devices</w:t>
      </w:r>
    </w:p>
    <w:p>
      <w:pPr>
        <w:pStyle w:val="ListBullet"/>
      </w:pPr>
      <w:r>
        <w:t>Automated patch management system</w:t>
      </w:r>
    </w:p>
    <w:p/>
    <w:p>
      <w:r>
        <w:t>Justification: Endpoints (laptops, desktops, mobile devices) are the primary attack vector for ransomware and malware. Legacy antivirus is no longer sufficient against modern threats. EDR provides advanced threat detection and automated response capabilities.</w:t>
      </w:r>
    </w:p>
    <w:p/>
    <w:p>
      <w:r>
        <w:t>Expected Outcomes:</w:t>
      </w:r>
    </w:p>
    <w:p>
      <w:pPr>
        <w:pStyle w:val="ListBullet"/>
      </w:pPr>
      <w:r>
        <w:t>85% reduction in malware infections</w:t>
      </w:r>
    </w:p>
    <w:p>
      <w:pPr>
        <w:pStyle w:val="ListBullet"/>
      </w:pPr>
      <w:r>
        <w:t>Automated threat containment within minutes</w:t>
      </w:r>
    </w:p>
    <w:p>
      <w:pPr>
        <w:pStyle w:val="ListBullet"/>
      </w:pPr>
      <w:r>
        <w:t>Centralized visibility into all endpoints</w:t>
      </w:r>
    </w:p>
    <w:p>
      <w:pPr>
        <w:pStyle w:val="ListBullet"/>
      </w:pPr>
      <w:r>
        <w:t>Compliance with HB 44 endpoint protection requirements</w:t>
      </w:r>
    </w:p>
    <w:p>
      <w:pPr>
        <w:pStyle w:val="Heading2"/>
      </w:pPr>
      <w:r>
        <w:rPr>
          <w:b/>
          <w:color w:val="002855"/>
          <w:sz w:val="36"/>
        </w:rPr>
        <w:t>2.3 Network Security</w:t>
      </w:r>
    </w:p>
    <w:p>
      <w:pPr>
        <w:pStyle w:val="Heading3"/>
      </w:pPr>
      <w:r>
        <w:rPr>
          <w:b/>
          <w:color w:val="50565B"/>
          <w:sz w:val="28"/>
        </w:rPr>
        <w:t>Investment: $[X]</w:t>
      </w:r>
    </w:p>
    <w:p>
      <w:r>
        <w:t>Proposed Solutions:</w:t>
      </w:r>
    </w:p>
    <w:p>
      <w:pPr>
        <w:pStyle w:val="ListBullet"/>
      </w:pPr>
      <w:r>
        <w:t>Next-generation firewall with intrusion prevention</w:t>
      </w:r>
    </w:p>
    <w:p>
      <w:pPr>
        <w:pStyle w:val="ListBullet"/>
      </w:pPr>
      <w:r>
        <w:t>Network segmentation implementation</w:t>
      </w:r>
    </w:p>
    <w:p>
      <w:pPr>
        <w:pStyle w:val="ListBullet"/>
      </w:pPr>
      <w:r>
        <w:t>Secure VPN for remote access</w:t>
      </w:r>
    </w:p>
    <w:p/>
    <w:p>
      <w:r>
        <w:t>Justification: Network security is the foundation of our cybersecurity posture. Modern firewalls provide application-layer visibility and control, while network segmentation limits the spread of attacks if a breach occurs.</w:t>
      </w:r>
    </w:p>
    <w:p>
      <w:pPr>
        <w:pStyle w:val="Heading2"/>
      </w:pPr>
      <w:r>
        <w:rPr>
          <w:b/>
          <w:color w:val="002855"/>
          <w:sz w:val="36"/>
        </w:rPr>
        <w:t>2.4 Data Protection</w:t>
      </w:r>
    </w:p>
    <w:p>
      <w:pPr>
        <w:pStyle w:val="Heading3"/>
      </w:pPr>
      <w:r>
        <w:rPr>
          <w:b/>
          <w:color w:val="50565B"/>
          <w:sz w:val="28"/>
        </w:rPr>
        <w:t>Investment: $[X]</w:t>
      </w:r>
    </w:p>
    <w:p>
      <w:r>
        <w:t>Proposed Solutions:</w:t>
      </w:r>
    </w:p>
    <w:p>
      <w:pPr>
        <w:pStyle w:val="ListBullet"/>
      </w:pPr>
      <w:r>
        <w:t>Offline/air-gapped backup system</w:t>
      </w:r>
    </w:p>
    <w:p>
      <w:pPr>
        <w:pStyle w:val="ListBullet"/>
      </w:pPr>
      <w:r>
        <w:t>Data Loss Prevention (DLP) solution</w:t>
      </w:r>
    </w:p>
    <w:p>
      <w:pPr>
        <w:pStyle w:val="ListBullet"/>
      </w:pPr>
      <w:r>
        <w:t>Encryption at rest and in transit</w:t>
      </w:r>
    </w:p>
    <w:p/>
    <w:p>
      <w:r>
        <w:t>Justification: Data is our most valuable asset. The ability to recover from ransomware depends entirely on having clean, tested backups. DLP prevents accidental or malicious data exfiltration. HB 44 requires data protection measures.</w:t>
      </w:r>
    </w:p>
    <w:p>
      <w:pPr>
        <w:pStyle w:val="Heading2"/>
      </w:pPr>
      <w:r>
        <w:rPr>
          <w:b/>
          <w:color w:val="002855"/>
          <w:sz w:val="36"/>
        </w:rPr>
        <w:t>2.5 Security Awareness Training</w:t>
      </w:r>
    </w:p>
    <w:p>
      <w:pPr>
        <w:pStyle w:val="Heading3"/>
      </w:pPr>
      <w:r>
        <w:rPr>
          <w:b/>
          <w:color w:val="50565B"/>
          <w:sz w:val="28"/>
        </w:rPr>
        <w:t>Investment: $[X]</w:t>
      </w:r>
    </w:p>
    <w:p>
      <w:r>
        <w:t>Proposed Solutions:</w:t>
      </w:r>
    </w:p>
    <w:p>
      <w:pPr>
        <w:pStyle w:val="ListBullet"/>
      </w:pPr>
      <w:r>
        <w:t>Security awareness training platform</w:t>
      </w:r>
    </w:p>
    <w:p>
      <w:pPr>
        <w:pStyle w:val="ListBullet"/>
      </w:pPr>
      <w:r>
        <w:t>Quarterly phishing simulations</w:t>
      </w:r>
    </w:p>
    <w:p>
      <w:pPr>
        <w:pStyle w:val="ListBullet"/>
      </w:pPr>
      <w:r>
        <w:t>Role-based training for high-risk users</w:t>
      </w:r>
    </w:p>
    <w:p/>
    <w:p>
      <w:r>
        <w:t>Justification: Human error is a factor in 95% of security breaches. Training reduces phishing click rates by up to 75%. HB 44 requires security awareness training for all staff with access to education records, with frequency and scope to be defined by Cybersecurity Commission rules.</w:t>
      </w:r>
    </w:p>
    <w:p>
      <w:pPr>
        <w:pStyle w:val="Heading2"/>
      </w:pPr>
      <w:r>
        <w:rPr>
          <w:b/>
          <w:color w:val="002855"/>
          <w:sz w:val="36"/>
        </w:rPr>
        <w:t>2.6 Incident Response &amp; Monitoring</w:t>
      </w:r>
    </w:p>
    <w:p>
      <w:pPr>
        <w:pStyle w:val="Heading3"/>
      </w:pPr>
      <w:r>
        <w:rPr>
          <w:b/>
          <w:color w:val="50565B"/>
          <w:sz w:val="28"/>
        </w:rPr>
        <w:t>Investment: $[X]</w:t>
      </w:r>
    </w:p>
    <w:p>
      <w:r>
        <w:t>Proposed Solutions:</w:t>
      </w:r>
    </w:p>
    <w:p>
      <w:pPr>
        <w:pStyle w:val="ListBullet"/>
      </w:pPr>
      <w:r>
        <w:t>Security Information &amp; Event Management (SIEM)</w:t>
      </w:r>
    </w:p>
    <w:p>
      <w:pPr>
        <w:pStyle w:val="ListBullet"/>
      </w:pPr>
      <w:r>
        <w:t>24/7 security monitoring</w:t>
      </w:r>
    </w:p>
    <w:p>
      <w:pPr>
        <w:pStyle w:val="ListBullet"/>
      </w:pPr>
      <w:r>
        <w:t>Incident response plan development</w:t>
      </w:r>
    </w:p>
    <w:p>
      <w:pPr>
        <w:pStyle w:val="ListBullet"/>
      </w:pPr>
      <w:r>
        <w:t>Tabletop exercises and drills</w:t>
      </w:r>
    </w:p>
    <w:p/>
    <w:p>
      <w:r>
        <w:t>Justification: The ability to detect and respond to incidents quickly is critical. Organizations with incident response plans save an average of $2.6M per breach. HB 44 requires documented incident response procedures and breach notification capabilities, with specific notification timelines to be defined by Cybersecurity Commission rules.</w:t>
      </w:r>
    </w:p>
    <w:p>
      <w:r>
        <w:br w:type="page"/>
      </w:r>
    </w:p>
    <w:p>
      <w:pPr>
        <w:pStyle w:val="Heading1"/>
      </w:pPr>
      <w:r>
        <w:rPr>
          <w:b/>
          <w:color w:val="002855"/>
          <w:sz w:val="48"/>
        </w:rPr>
        <w:t>3. Line-Item Justifications</w:t>
      </w:r>
    </w:p>
    <w:p>
      <w:r>
        <w:t>The following table provides detailed line-item breakdowns with quantities, unit costs, and total costs for each major budget category.</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t>Category</w:t>
            </w:r>
          </w:p>
        </w:tc>
        <w:tc>
          <w:tcPr>
            <w:tcW w:type="dxa" w:w="1440"/>
          </w:tcPr>
          <w:p>
            <w:r>
              <w:t>Item</w:t>
            </w:r>
          </w:p>
        </w:tc>
        <w:tc>
          <w:tcPr>
            <w:tcW w:type="dxa" w:w="1440"/>
          </w:tcPr>
          <w:p>
            <w:r>
              <w:t>Qty</w:t>
            </w:r>
          </w:p>
        </w:tc>
        <w:tc>
          <w:tcPr>
            <w:tcW w:type="dxa" w:w="1440"/>
          </w:tcPr>
          <w:p>
            <w:r>
              <w:t>Unit Cost</w:t>
            </w:r>
          </w:p>
        </w:tc>
        <w:tc>
          <w:tcPr>
            <w:tcW w:type="dxa" w:w="1440"/>
          </w:tcPr>
          <w:p>
            <w:r>
              <w:t>Total</w:t>
            </w:r>
          </w:p>
        </w:tc>
        <w:tc>
          <w:tcPr>
            <w:tcW w:type="dxa" w:w="1440"/>
          </w:tcPr>
          <w:p>
            <w:r>
              <w:t>Notes</w:t>
            </w:r>
          </w:p>
        </w:tc>
      </w:tr>
      <w:tr>
        <w:tc>
          <w:tcPr>
            <w:tcW w:type="dxa" w:w="1440"/>
          </w:tcPr>
          <w:p>
            <w:r>
              <w:t>Identity &amp; Access</w:t>
            </w:r>
          </w:p>
        </w:tc>
        <w:tc>
          <w:tcPr>
            <w:tcW w:type="dxa" w:w="1440"/>
          </w:tcPr>
          <w:p>
            <w:r>
              <w:t>MFA Licenses</w:t>
            </w:r>
          </w:p>
        </w:tc>
        <w:tc>
          <w:tcPr>
            <w:tcW w:type="dxa" w:w="1440"/>
          </w:tcPr>
          <w:p>
            <w:r>
              <w:t>[X]</w:t>
            </w:r>
          </w:p>
        </w:tc>
        <w:tc>
          <w:tcPr>
            <w:tcW w:type="dxa" w:w="1440"/>
          </w:tcPr>
          <w:p>
            <w:r>
              <w:t>$[X]</w:t>
            </w:r>
          </w:p>
        </w:tc>
        <w:tc>
          <w:tcPr>
            <w:tcW w:type="dxa" w:w="1440"/>
          </w:tcPr>
          <w:p>
            <w:r>
              <w:t>$[X]</w:t>
            </w:r>
          </w:p>
        </w:tc>
        <w:tc>
          <w:tcPr>
            <w:tcW w:type="dxa" w:w="1440"/>
          </w:tcPr>
          <w:p>
            <w:r>
              <w:t>Annual subscription</w:t>
            </w:r>
          </w:p>
        </w:tc>
      </w:tr>
      <w:tr>
        <w:tc>
          <w:tcPr>
            <w:tcW w:type="dxa" w:w="1440"/>
          </w:tcPr>
          <w:p>
            <w:r>
              <w:t>Identity &amp; Access</w:t>
            </w:r>
          </w:p>
        </w:tc>
        <w:tc>
          <w:tcPr>
            <w:tcW w:type="dxa" w:w="1440"/>
          </w:tcPr>
          <w:p>
            <w:r>
              <w:t>SSO Platform</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Identity &amp; Access</w:t>
            </w:r>
          </w:p>
        </w:tc>
        <w:tc>
          <w:tcPr>
            <w:tcW w:type="dxa" w:w="1440"/>
          </w:tcPr>
          <w:p>
            <w:r>
              <w:t>PAM Solution</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Endpoint Security</w:t>
            </w:r>
          </w:p>
        </w:tc>
        <w:tc>
          <w:tcPr>
            <w:tcW w:type="dxa" w:w="1440"/>
          </w:tcPr>
          <w:p>
            <w:r>
              <w:t>EDR Licenses</w:t>
            </w:r>
          </w:p>
        </w:tc>
        <w:tc>
          <w:tcPr>
            <w:tcW w:type="dxa" w:w="1440"/>
          </w:tcPr>
          <w:p>
            <w:r>
              <w:t>[X]</w:t>
            </w:r>
          </w:p>
        </w:tc>
        <w:tc>
          <w:tcPr>
            <w:tcW w:type="dxa" w:w="1440"/>
          </w:tcPr>
          <w:p>
            <w:r>
              <w:t>$[X]</w:t>
            </w:r>
          </w:p>
        </w:tc>
        <w:tc>
          <w:tcPr>
            <w:tcW w:type="dxa" w:w="1440"/>
          </w:tcPr>
          <w:p>
            <w:r>
              <w:t>$[X]</w:t>
            </w:r>
          </w:p>
        </w:tc>
        <w:tc>
          <w:tcPr>
            <w:tcW w:type="dxa" w:w="1440"/>
          </w:tcPr>
          <w:p>
            <w:r>
              <w:t>Per endpoint/year</w:t>
            </w:r>
          </w:p>
        </w:tc>
      </w:tr>
      <w:tr>
        <w:tc>
          <w:tcPr>
            <w:tcW w:type="dxa" w:w="1440"/>
          </w:tcPr>
          <w:p>
            <w:r>
              <w:t>Endpoint Security</w:t>
            </w:r>
          </w:p>
        </w:tc>
        <w:tc>
          <w:tcPr>
            <w:tcW w:type="dxa" w:w="1440"/>
          </w:tcPr>
          <w:p>
            <w:r>
              <w:t>MDM Platform</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Endpoint Security</w:t>
            </w:r>
          </w:p>
        </w:tc>
        <w:tc>
          <w:tcPr>
            <w:tcW w:type="dxa" w:w="1440"/>
          </w:tcPr>
          <w:p>
            <w:r>
              <w:t>Patch Management</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Network Security</w:t>
            </w:r>
          </w:p>
        </w:tc>
        <w:tc>
          <w:tcPr>
            <w:tcW w:type="dxa" w:w="1440"/>
          </w:tcPr>
          <w:p>
            <w:r>
              <w:t>NGFW Hardware</w:t>
            </w:r>
          </w:p>
        </w:tc>
        <w:tc>
          <w:tcPr>
            <w:tcW w:type="dxa" w:w="1440"/>
          </w:tcPr>
          <w:p>
            <w:r>
              <w:t>2</w:t>
            </w:r>
          </w:p>
        </w:tc>
        <w:tc>
          <w:tcPr>
            <w:tcW w:type="dxa" w:w="1440"/>
          </w:tcPr>
          <w:p>
            <w:r>
              <w:t>$[X]</w:t>
            </w:r>
          </w:p>
        </w:tc>
        <w:tc>
          <w:tcPr>
            <w:tcW w:type="dxa" w:w="1440"/>
          </w:tcPr>
          <w:p>
            <w:r>
              <w:t>$[X]</w:t>
            </w:r>
          </w:p>
        </w:tc>
        <w:tc>
          <w:tcPr>
            <w:tcW w:type="dxa" w:w="1440"/>
          </w:tcPr>
          <w:p>
            <w:r>
              <w:t>Primary + backup</w:t>
            </w:r>
          </w:p>
        </w:tc>
      </w:tr>
      <w:tr>
        <w:tc>
          <w:tcPr>
            <w:tcW w:type="dxa" w:w="1440"/>
          </w:tcPr>
          <w:p>
            <w:r>
              <w:t>Network Security</w:t>
            </w:r>
          </w:p>
        </w:tc>
        <w:tc>
          <w:tcPr>
            <w:tcW w:type="dxa" w:w="1440"/>
          </w:tcPr>
          <w:p>
            <w:r>
              <w:t>NGFW Subscription</w:t>
            </w:r>
          </w:p>
        </w:tc>
        <w:tc>
          <w:tcPr>
            <w:tcW w:type="dxa" w:w="1440"/>
          </w:tcPr>
          <w:p>
            <w:r>
              <w:t>2</w:t>
            </w:r>
          </w:p>
        </w:tc>
        <w:tc>
          <w:tcPr>
            <w:tcW w:type="dxa" w:w="1440"/>
          </w:tcPr>
          <w:p>
            <w:r>
              <w:t>$[X]</w:t>
            </w:r>
          </w:p>
        </w:tc>
        <w:tc>
          <w:tcPr>
            <w:tcW w:type="dxa" w:w="1440"/>
          </w:tcPr>
          <w:p>
            <w:r>
              <w:t>$[X]</w:t>
            </w:r>
          </w:p>
        </w:tc>
        <w:tc>
          <w:tcPr>
            <w:tcW w:type="dxa" w:w="1440"/>
          </w:tcPr>
          <w:p>
            <w:r>
              <w:t>Annual</w:t>
            </w:r>
          </w:p>
        </w:tc>
      </w:tr>
      <w:tr>
        <w:tc>
          <w:tcPr>
            <w:tcW w:type="dxa" w:w="1440"/>
          </w:tcPr>
          <w:p>
            <w:r>
              <w:t>Network Security</w:t>
            </w:r>
          </w:p>
        </w:tc>
        <w:tc>
          <w:tcPr>
            <w:tcW w:type="dxa" w:w="1440"/>
          </w:tcPr>
          <w:p>
            <w:r>
              <w:t>VPN Licenses</w:t>
            </w:r>
          </w:p>
        </w:tc>
        <w:tc>
          <w:tcPr>
            <w:tcW w:type="dxa" w:w="1440"/>
          </w:tcPr>
          <w:p>
            <w:r>
              <w:t>[X]</w:t>
            </w:r>
          </w:p>
        </w:tc>
        <w:tc>
          <w:tcPr>
            <w:tcW w:type="dxa" w:w="1440"/>
          </w:tcPr>
          <w:p>
            <w:r>
              <w:t>$[X]</w:t>
            </w:r>
          </w:p>
        </w:tc>
        <w:tc>
          <w:tcPr>
            <w:tcW w:type="dxa" w:w="1440"/>
          </w:tcPr>
          <w:p>
            <w:r>
              <w:t>$[X]</w:t>
            </w:r>
          </w:p>
        </w:tc>
        <w:tc>
          <w:tcPr>
            <w:tcW w:type="dxa" w:w="1440"/>
          </w:tcPr>
          <w:p>
            <w:r>
              <w:t>Annual</w:t>
            </w:r>
          </w:p>
        </w:tc>
      </w:tr>
      <w:tr>
        <w:tc>
          <w:tcPr>
            <w:tcW w:type="dxa" w:w="1440"/>
          </w:tcPr>
          <w:p>
            <w:r>
              <w:t>Data Protection</w:t>
            </w:r>
          </w:p>
        </w:tc>
        <w:tc>
          <w:tcPr>
            <w:tcW w:type="dxa" w:w="1440"/>
          </w:tcPr>
          <w:p>
            <w:r>
              <w:t>Backup Solution</w:t>
            </w:r>
          </w:p>
        </w:tc>
        <w:tc>
          <w:tcPr>
            <w:tcW w:type="dxa" w:w="1440"/>
          </w:tcPr>
          <w:p>
            <w:r>
              <w:t>1</w:t>
            </w:r>
          </w:p>
        </w:tc>
        <w:tc>
          <w:tcPr>
            <w:tcW w:type="dxa" w:w="1440"/>
          </w:tcPr>
          <w:p>
            <w:r>
              <w:t>$[X]</w:t>
            </w:r>
          </w:p>
        </w:tc>
        <w:tc>
          <w:tcPr>
            <w:tcW w:type="dxa" w:w="1440"/>
          </w:tcPr>
          <w:p>
            <w:r>
              <w:t>$[X]</w:t>
            </w:r>
          </w:p>
        </w:tc>
        <w:tc>
          <w:tcPr>
            <w:tcW w:type="dxa" w:w="1440"/>
          </w:tcPr>
          <w:p>
            <w:r>
              <w:t>Includes hardware</w:t>
            </w:r>
          </w:p>
        </w:tc>
      </w:tr>
      <w:tr>
        <w:tc>
          <w:tcPr>
            <w:tcW w:type="dxa" w:w="1440"/>
          </w:tcPr>
          <w:p>
            <w:r>
              <w:t>Data Protection</w:t>
            </w:r>
          </w:p>
        </w:tc>
        <w:tc>
          <w:tcPr>
            <w:tcW w:type="dxa" w:w="1440"/>
          </w:tcPr>
          <w:p>
            <w:r>
              <w:t>DLP Platform</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Data Protection</w:t>
            </w:r>
          </w:p>
        </w:tc>
        <w:tc>
          <w:tcPr>
            <w:tcW w:type="dxa" w:w="1440"/>
          </w:tcPr>
          <w:p>
            <w:r>
              <w:t>Encryption Tools</w:t>
            </w:r>
          </w:p>
        </w:tc>
        <w:tc>
          <w:tcPr>
            <w:tcW w:type="dxa" w:w="1440"/>
          </w:tcPr>
          <w:p>
            <w:r>
              <w:t>[X]</w:t>
            </w:r>
          </w:p>
        </w:tc>
        <w:tc>
          <w:tcPr>
            <w:tcW w:type="dxa" w:w="1440"/>
          </w:tcPr>
          <w:p>
            <w:r>
              <w:t>$[X]</w:t>
            </w:r>
          </w:p>
        </w:tc>
        <w:tc>
          <w:tcPr>
            <w:tcW w:type="dxa" w:w="1440"/>
          </w:tcPr>
          <w:p>
            <w:r>
              <w:t>$[X]</w:t>
            </w:r>
          </w:p>
        </w:tc>
        <w:tc>
          <w:tcPr>
            <w:tcW w:type="dxa" w:w="1440"/>
          </w:tcPr>
          <w:p>
            <w:r>
              <w:t>Per license</w:t>
            </w:r>
          </w:p>
        </w:tc>
      </w:tr>
      <w:tr>
        <w:tc>
          <w:tcPr>
            <w:tcW w:type="dxa" w:w="1440"/>
          </w:tcPr>
          <w:p>
            <w:r>
              <w:t>Training</w:t>
            </w:r>
          </w:p>
        </w:tc>
        <w:tc>
          <w:tcPr>
            <w:tcW w:type="dxa" w:w="1440"/>
          </w:tcPr>
          <w:p>
            <w:r>
              <w:t>Awareness Platform</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Training</w:t>
            </w:r>
          </w:p>
        </w:tc>
        <w:tc>
          <w:tcPr>
            <w:tcW w:type="dxa" w:w="1440"/>
          </w:tcPr>
          <w:p>
            <w:r>
              <w:t>Phishing Simulation</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Monitoring</w:t>
            </w:r>
          </w:p>
        </w:tc>
        <w:tc>
          <w:tcPr>
            <w:tcW w:type="dxa" w:w="1440"/>
          </w:tcPr>
          <w:p>
            <w:r>
              <w:t>SIEM Platform</w:t>
            </w:r>
          </w:p>
        </w:tc>
        <w:tc>
          <w:tcPr>
            <w:tcW w:type="dxa" w:w="1440"/>
          </w:tcPr>
          <w:p>
            <w:r>
              <w:t>1</w:t>
            </w:r>
          </w:p>
        </w:tc>
        <w:tc>
          <w:tcPr>
            <w:tcW w:type="dxa" w:w="1440"/>
          </w:tcPr>
          <w:p>
            <w:r>
              <w:t>$[X]</w:t>
            </w:r>
          </w:p>
        </w:tc>
        <w:tc>
          <w:tcPr>
            <w:tcW w:type="dxa" w:w="1440"/>
          </w:tcPr>
          <w:p>
            <w:r>
              <w:t>$[X]</w:t>
            </w:r>
          </w:p>
        </w:tc>
        <w:tc>
          <w:tcPr>
            <w:tcW w:type="dxa" w:w="1440"/>
          </w:tcPr>
          <w:p>
            <w:r>
              <w:t>Annual subscription</w:t>
            </w:r>
          </w:p>
        </w:tc>
      </w:tr>
      <w:tr>
        <w:tc>
          <w:tcPr>
            <w:tcW w:type="dxa" w:w="1440"/>
          </w:tcPr>
          <w:p>
            <w:r>
              <w:t>Monitoring</w:t>
            </w:r>
          </w:p>
        </w:tc>
        <w:tc>
          <w:tcPr>
            <w:tcW w:type="dxa" w:w="1440"/>
          </w:tcPr>
          <w:p>
            <w:r>
              <w:t>24/7 SOC Service</w:t>
            </w:r>
          </w:p>
        </w:tc>
        <w:tc>
          <w:tcPr>
            <w:tcW w:type="dxa" w:w="1440"/>
          </w:tcPr>
          <w:p>
            <w:r>
              <w:t>1</w:t>
            </w:r>
          </w:p>
        </w:tc>
        <w:tc>
          <w:tcPr>
            <w:tcW w:type="dxa" w:w="1440"/>
          </w:tcPr>
          <w:p>
            <w:r>
              <w:t>$[X]</w:t>
            </w:r>
          </w:p>
        </w:tc>
        <w:tc>
          <w:tcPr>
            <w:tcW w:type="dxa" w:w="1440"/>
          </w:tcPr>
          <w:p>
            <w:r>
              <w:t>$[X]</w:t>
            </w:r>
          </w:p>
        </w:tc>
        <w:tc>
          <w:tcPr>
            <w:tcW w:type="dxa" w:w="1440"/>
          </w:tcPr>
          <w:p>
            <w:r>
              <w:t>Annual</w:t>
            </w:r>
          </w:p>
        </w:tc>
      </w:tr>
      <w:tr>
        <w:tc>
          <w:tcPr>
            <w:tcW w:type="dxa" w:w="1440"/>
          </w:tcPr>
          <w:p>
            <w:r>
              <w:t>Services</w:t>
            </w:r>
          </w:p>
        </w:tc>
        <w:tc>
          <w:tcPr>
            <w:tcW w:type="dxa" w:w="1440"/>
          </w:tcPr>
          <w:p>
            <w:r>
              <w:t>Penetration Testing</w:t>
            </w:r>
          </w:p>
        </w:tc>
        <w:tc>
          <w:tcPr>
            <w:tcW w:type="dxa" w:w="1440"/>
          </w:tcPr>
          <w:p>
            <w:r>
              <w:t>1</w:t>
            </w:r>
          </w:p>
        </w:tc>
        <w:tc>
          <w:tcPr>
            <w:tcW w:type="dxa" w:w="1440"/>
          </w:tcPr>
          <w:p>
            <w:r>
              <w:t>$[X]</w:t>
            </w:r>
          </w:p>
        </w:tc>
        <w:tc>
          <w:tcPr>
            <w:tcW w:type="dxa" w:w="1440"/>
          </w:tcPr>
          <w:p>
            <w:r>
              <w:t>$[X]</w:t>
            </w:r>
          </w:p>
        </w:tc>
        <w:tc>
          <w:tcPr>
            <w:tcW w:type="dxa" w:w="1440"/>
          </w:tcPr>
          <w:p>
            <w:r>
              <w:t>One-time</w:t>
            </w:r>
          </w:p>
        </w:tc>
      </w:tr>
      <w:tr>
        <w:tc>
          <w:tcPr>
            <w:tcW w:type="dxa" w:w="1440"/>
          </w:tcPr>
          <w:p>
            <w:r>
              <w:t>Services</w:t>
            </w:r>
          </w:p>
        </w:tc>
        <w:tc>
          <w:tcPr>
            <w:tcW w:type="dxa" w:w="1440"/>
          </w:tcPr>
          <w:p>
            <w:r>
              <w:t>IR Plan Development</w:t>
            </w:r>
          </w:p>
        </w:tc>
        <w:tc>
          <w:tcPr>
            <w:tcW w:type="dxa" w:w="1440"/>
          </w:tcPr>
          <w:p>
            <w:r>
              <w:t>1</w:t>
            </w:r>
          </w:p>
        </w:tc>
        <w:tc>
          <w:tcPr>
            <w:tcW w:type="dxa" w:w="1440"/>
          </w:tcPr>
          <w:p>
            <w:r>
              <w:t>$[X]</w:t>
            </w:r>
          </w:p>
        </w:tc>
        <w:tc>
          <w:tcPr>
            <w:tcW w:type="dxa" w:w="1440"/>
          </w:tcPr>
          <w:p>
            <w:r>
              <w:t>$[X]</w:t>
            </w:r>
          </w:p>
        </w:tc>
        <w:tc>
          <w:tcPr>
            <w:tcW w:type="dxa" w:w="1440"/>
          </w:tcPr>
          <w:p>
            <w:r>
              <w:t>One-time</w:t>
            </w:r>
          </w:p>
        </w:tc>
      </w:tr>
    </w:tbl>
    <w:p/>
    <w:p>
      <w:r>
        <w:t>Note: All costs are estimates based on market research. Final costs will be determined through competitive procurement.</w:t>
      </w:r>
    </w:p>
    <w:p>
      <w:r>
        <w:br w:type="page"/>
      </w:r>
    </w:p>
    <w:p>
      <w:pPr>
        <w:pStyle w:val="Heading1"/>
      </w:pPr>
      <w:r>
        <w:rPr>
          <w:b/>
          <w:color w:val="002855"/>
          <w:sz w:val="48"/>
        </w:rPr>
        <w:t>4. Sample RFP Language</w:t>
      </w:r>
    </w:p>
    <w:p>
      <w:r>
        <w:t>The following sections provide sample RFP language for common cybersecurity solutions. These specifications can be customized based on specific organizational requirements.</w:t>
      </w:r>
    </w:p>
    <w:p>
      <w:pPr>
        <w:pStyle w:val="Heading2"/>
      </w:pPr>
      <w:r>
        <w:rPr>
          <w:b/>
          <w:color w:val="002855"/>
          <w:sz w:val="36"/>
        </w:rPr>
        <w:t>4.1 Multi-Factor Authentication (MFA)</w:t>
      </w:r>
    </w:p>
    <w:p>
      <w:r>
        <w:t>Technical Requirements:</w:t>
      </w:r>
    </w:p>
    <w:p>
      <w:pPr>
        <w:pStyle w:val="ListBullet"/>
      </w:pPr>
      <w:r>
        <w:t>Support for multiple authentication factors including TOTP, push notifications, SMS, and hardware tokens</w:t>
      </w:r>
    </w:p>
    <w:p>
      <w:pPr>
        <w:pStyle w:val="ListBullet"/>
      </w:pPr>
      <w:r>
        <w:t>Integration with Active Directory and cloud identity providers (Azure AD, Google Workspace)</w:t>
      </w:r>
    </w:p>
    <w:p>
      <w:pPr>
        <w:pStyle w:val="ListBullet"/>
      </w:pPr>
      <w:r>
        <w:t>Support for RADIUS, LDAP, SAML, and OIDC protocols</w:t>
      </w:r>
    </w:p>
    <w:p>
      <w:pPr>
        <w:pStyle w:val="ListBullet"/>
      </w:pPr>
      <w:r>
        <w:t>Self-service enrollment and device management portal</w:t>
      </w:r>
    </w:p>
    <w:p>
      <w:pPr>
        <w:pStyle w:val="ListBullet"/>
      </w:pPr>
      <w:r>
        <w:t>Administrative dashboard with reporting and analytics</w:t>
      </w:r>
    </w:p>
    <w:p>
      <w:pPr>
        <w:pStyle w:val="ListBullet"/>
      </w:pPr>
      <w:r>
        <w:t>99.9% uptime SLA with redundancy</w:t>
      </w:r>
    </w:p>
    <w:p/>
    <w:p>
      <w:r>
        <w:t>Evaluation Criteria:</w:t>
      </w:r>
    </w:p>
    <w:p>
      <w:pPr>
        <w:pStyle w:val="ListBullet"/>
      </w:pPr>
      <w:r>
        <w:t>Total cost of ownership (40%)</w:t>
      </w:r>
    </w:p>
    <w:p>
      <w:pPr>
        <w:pStyle w:val="ListBullet"/>
      </w:pPr>
      <w:r>
        <w:t>Ease of deployment and administration (25%)</w:t>
      </w:r>
    </w:p>
    <w:p>
      <w:pPr>
        <w:pStyle w:val="ListBullet"/>
      </w:pPr>
      <w:r>
        <w:t>User experience (20%)</w:t>
      </w:r>
    </w:p>
    <w:p>
      <w:pPr>
        <w:pStyle w:val="ListBullet"/>
      </w:pPr>
      <w:r>
        <w:t>Vendor reputation and references (15%)</w:t>
      </w:r>
    </w:p>
    <w:p>
      <w:pPr>
        <w:pStyle w:val="Heading2"/>
      </w:pPr>
      <w:r>
        <w:rPr>
          <w:b/>
          <w:color w:val="002855"/>
          <w:sz w:val="36"/>
        </w:rPr>
        <w:t>4.2 Endpoint Detection &amp; Response (EDR)</w:t>
      </w:r>
    </w:p>
    <w:p>
      <w:r>
        <w:t>Technical Requirements:</w:t>
      </w:r>
    </w:p>
    <w:p>
      <w:pPr>
        <w:pStyle w:val="ListBullet"/>
      </w:pPr>
      <w:r>
        <w:t>Real-time behavioral analysis and threat detection</w:t>
      </w:r>
    </w:p>
    <w:p>
      <w:pPr>
        <w:pStyle w:val="ListBullet"/>
      </w:pPr>
      <w:r>
        <w:t>Automated threat containment and remediation</w:t>
      </w:r>
    </w:p>
    <w:p>
      <w:pPr>
        <w:pStyle w:val="ListBullet"/>
      </w:pPr>
      <w:r>
        <w:t>Centralized management console with threat intelligence</w:t>
      </w:r>
    </w:p>
    <w:p>
      <w:pPr>
        <w:pStyle w:val="ListBullet"/>
      </w:pPr>
      <w:r>
        <w:t>Integration with SIEM and ticketing systems</w:t>
      </w:r>
    </w:p>
    <w:p>
      <w:pPr>
        <w:pStyle w:val="ListBullet"/>
      </w:pPr>
      <w:r>
        <w:t>Support for Windows, macOS, and Linux endpoints</w:t>
      </w:r>
    </w:p>
    <w:p>
      <w:pPr>
        <w:pStyle w:val="ListBullet"/>
      </w:pPr>
      <w:r>
        <w:t>Forensic investigation capabilities</w:t>
      </w:r>
    </w:p>
    <w:p/>
    <w:p>
      <w:r>
        <w:t>Service Requirements:</w:t>
      </w:r>
    </w:p>
    <w:p>
      <w:pPr>
        <w:pStyle w:val="ListBullet"/>
      </w:pPr>
      <w:r>
        <w:t>24/7 threat monitoring and response</w:t>
      </w:r>
    </w:p>
    <w:p>
      <w:pPr>
        <w:pStyle w:val="ListBullet"/>
      </w:pPr>
      <w:r>
        <w:t>Quarterly threat hunting reports</w:t>
      </w:r>
    </w:p>
    <w:p>
      <w:pPr>
        <w:pStyle w:val="ListBullet"/>
      </w:pPr>
      <w:r>
        <w:t>Incident response support</w:t>
      </w:r>
    </w:p>
    <w:p>
      <w:pPr>
        <w:pStyle w:val="ListBullet"/>
      </w:pPr>
      <w:r>
        <w:t>Regular platform updates and threat signature updates</w:t>
      </w:r>
    </w:p>
    <w:p>
      <w:pPr>
        <w:pStyle w:val="Heading2"/>
      </w:pPr>
      <w:r>
        <w:rPr>
          <w:b/>
          <w:color w:val="002855"/>
          <w:sz w:val="36"/>
        </w:rPr>
        <w:t>4.3 Email Security Gateway</w:t>
      </w:r>
    </w:p>
    <w:p>
      <w:r>
        <w:t>Technical Requirements:</w:t>
      </w:r>
    </w:p>
    <w:p>
      <w:pPr>
        <w:pStyle w:val="ListBullet"/>
      </w:pPr>
      <w:r>
        <w:t>Anti-phishing with URL rewriting and sandboxing</w:t>
      </w:r>
    </w:p>
    <w:p>
      <w:pPr>
        <w:pStyle w:val="ListBullet"/>
      </w:pPr>
      <w:r>
        <w:t>Malware detection with attachment sandboxing</w:t>
      </w:r>
    </w:p>
    <w:p>
      <w:pPr>
        <w:pStyle w:val="ListBullet"/>
      </w:pPr>
      <w:r>
        <w:t>Business email compromise (BEC) protection</w:t>
      </w:r>
    </w:p>
    <w:p>
      <w:pPr>
        <w:pStyle w:val="ListBullet"/>
      </w:pPr>
      <w:r>
        <w:t>Data loss prevention (DLP) for email</w:t>
      </w:r>
    </w:p>
    <w:p>
      <w:pPr>
        <w:pStyle w:val="ListBullet"/>
      </w:pPr>
      <w:r>
        <w:t>Integration with existing email platform (Microsoft 365/Google Workspace)</w:t>
      </w:r>
    </w:p>
    <w:p>
      <w:pPr>
        <w:pStyle w:val="ListBullet"/>
      </w:pPr>
      <w:r>
        <w:t>End-user reporting and quarantine management</w:t>
      </w:r>
    </w:p>
    <w:p>
      <w:pPr>
        <w:pStyle w:val="Heading2"/>
      </w:pPr>
      <w:r>
        <w:rPr>
          <w:b/>
          <w:color w:val="002855"/>
          <w:sz w:val="36"/>
        </w:rPr>
        <w:t>4.4 Backup &amp; Disaster Recovery</w:t>
      </w:r>
    </w:p>
    <w:p>
      <w:r>
        <w:t>Technical Requirements:</w:t>
      </w:r>
    </w:p>
    <w:p>
      <w:pPr>
        <w:pStyle w:val="ListBullet"/>
      </w:pPr>
      <w:r>
        <w:t>Automated backup with configurable retention policies</w:t>
      </w:r>
    </w:p>
    <w:p>
      <w:pPr>
        <w:pStyle w:val="ListBullet"/>
      </w:pPr>
      <w:r>
        <w:t>Immutable/offline backup capability for ransomware protection</w:t>
      </w:r>
    </w:p>
    <w:p>
      <w:pPr>
        <w:pStyle w:val="ListBullet"/>
      </w:pPr>
      <w:r>
        <w:t>Point-in-time recovery with granular restore options</w:t>
      </w:r>
    </w:p>
    <w:p>
      <w:pPr>
        <w:pStyle w:val="ListBullet"/>
      </w:pPr>
      <w:r>
        <w:t>Encryption at rest and in transit</w:t>
      </w:r>
    </w:p>
    <w:p>
      <w:pPr>
        <w:pStyle w:val="ListBullet"/>
      </w:pPr>
      <w:r>
        <w:t>Support for physical, virtual, and cloud workloads</w:t>
      </w:r>
    </w:p>
    <w:p>
      <w:pPr>
        <w:pStyle w:val="ListBullet"/>
      </w:pPr>
      <w:r>
        <w:t>Quarterly disaster recovery testing</w:t>
      </w:r>
    </w:p>
    <w:p>
      <w:r>
        <w:br w:type="page"/>
      </w:r>
    </w:p>
    <w:p>
      <w:pPr>
        <w:pStyle w:val="Heading1"/>
      </w:pPr>
      <w:r>
        <w:rPr>
          <w:b/>
          <w:color w:val="002855"/>
          <w:sz w:val="48"/>
        </w:rPr>
        <w:t>5. Grant Funding Resources</w:t>
      </w:r>
    </w:p>
    <w:p>
      <w:r>
        <w:t>Several grant programs are available to help offset cybersecurity costs. The following resources should be explored to maximize available funding.</w:t>
      </w:r>
    </w:p>
    <w:p>
      <w:pPr>
        <w:pStyle w:val="Heading2"/>
      </w:pPr>
      <w:r>
        <w:rPr>
          <w:b/>
          <w:color w:val="002855"/>
          <w:sz w:val="36"/>
        </w:rPr>
        <w:t>5.1 Federal Grants</w:t>
      </w:r>
    </w:p>
    <w:p>
      <w:pPr>
        <w:pStyle w:val="Heading3"/>
      </w:pPr>
      <w:r>
        <w:rPr>
          <w:b/>
          <w:color w:val="50565B"/>
          <w:sz w:val="28"/>
        </w:rPr>
        <w:t>DHS State and Local Cybersecurity Grant Program (SLCGP)</w:t>
      </w:r>
    </w:p>
    <w:p>
      <w:r>
        <w:t>Agency: Department of Homeland Security</w:t>
      </w:r>
    </w:p>
    <w:p>
      <w:r>
        <w:t>Eligibility: State, local, tribal, territorial governments</w:t>
      </w:r>
    </w:p>
    <w:p>
      <w:r>
        <w:t>Focus: Critical infrastructure protection, cyber workforce development</w:t>
      </w:r>
    </w:p>
    <w:p>
      <w:r>
        <w:t>Typical Award: $100K - $1M+</w:t>
      </w:r>
    </w:p>
    <w:p>
      <w:r>
        <w:t>Website: cisa.gov/slcgp</w:t>
      </w:r>
    </w:p>
    <w:p>
      <w:r>
        <w:t>Application Period: Typically opens Q2 each year</w:t>
      </w:r>
    </w:p>
    <w:p>
      <w:pPr>
        <w:pStyle w:val="Heading3"/>
      </w:pPr>
      <w:r>
        <w:rPr>
          <w:b/>
          <w:color w:val="50565B"/>
          <w:sz w:val="28"/>
        </w:rPr>
        <w:t>CISA Cybersecurity Education &amp; Training Assistance Program</w:t>
      </w:r>
    </w:p>
    <w:p>
      <w:r>
        <w:t>Agency: Cybersecurity &amp; Infrastructure Security Agency</w:t>
      </w:r>
    </w:p>
    <w:p>
      <w:r>
        <w:t>Eligibility: State and local governments, educational institutions</w:t>
      </w:r>
    </w:p>
    <w:p>
      <w:r>
        <w:t>Focus: Security awareness training, workforce development</w:t>
      </w:r>
    </w:p>
    <w:p>
      <w:r>
        <w:t>Website: cisa.gov</w:t>
      </w:r>
    </w:p>
    <w:p>
      <w:pPr>
        <w:pStyle w:val="Heading2"/>
      </w:pPr>
      <w:r>
        <w:rPr>
          <w:b/>
          <w:color w:val="002855"/>
          <w:sz w:val="36"/>
        </w:rPr>
        <w:t>5.2 State Grants</w:t>
      </w:r>
    </w:p>
    <w:p>
      <w:pPr>
        <w:pStyle w:val="Heading3"/>
      </w:pPr>
      <w:r>
        <w:rPr>
          <w:b/>
          <w:color w:val="50565B"/>
          <w:sz w:val="28"/>
        </w:rPr>
        <w:t>Utah State Cybersecurity Grants</w:t>
      </w:r>
    </w:p>
    <w:p>
      <w:r>
        <w:t>Agency: Utah Department of Technology Services</w:t>
      </w:r>
    </w:p>
    <w:p>
      <w:r>
        <w:t>Eligibility: Utah state agencies, local governments, LEAs</w:t>
      </w:r>
    </w:p>
    <w:p>
      <w:r>
        <w:t>Focus: Cybersecurity improvements, compliance</w:t>
      </w:r>
    </w:p>
    <w:p>
      <w:r>
        <w:t>Contact: Utah Cyber Center for current opportunities</w:t>
      </w:r>
    </w:p>
    <w:p>
      <w:pPr>
        <w:pStyle w:val="Heading2"/>
      </w:pPr>
      <w:r>
        <w:rPr>
          <w:b/>
          <w:color w:val="002855"/>
          <w:sz w:val="36"/>
        </w:rPr>
        <w:t>5.3 Other Funding Sources</w:t>
      </w:r>
    </w:p>
    <w:p>
      <w:pPr>
        <w:pStyle w:val="Heading3"/>
      </w:pPr>
      <w:r>
        <w:rPr>
          <w:b/>
          <w:color w:val="50565B"/>
          <w:sz w:val="28"/>
        </w:rPr>
        <w:t>E-Rate Program (Category 2)</w:t>
      </w:r>
    </w:p>
    <w:p>
      <w:r>
        <w:t>Agency: Universal Service Administrative Company (USAC)</w:t>
      </w:r>
    </w:p>
    <w:p>
      <w:r>
        <w:t>Eligibility: K-12 schools and libraries</w:t>
      </w:r>
    </w:p>
    <w:p>
      <w:r>
        <w:t>Focus: Network infrastructure, including security equipment</w:t>
      </w:r>
    </w:p>
    <w:p>
      <w:r>
        <w:t>Discount: 20-90% based on free/reduced lunch percentage</w:t>
      </w:r>
    </w:p>
    <w:p>
      <w:r>
        <w:t>Website: usac.org/e-rate</w:t>
      </w:r>
    </w:p>
    <w:p>
      <w:pPr>
        <w:pStyle w:val="Heading3"/>
      </w:pPr>
      <w:r>
        <w:rPr>
          <w:b/>
          <w:color w:val="50565B"/>
          <w:sz w:val="28"/>
        </w:rPr>
        <w:t>Free Federal Services</w:t>
      </w:r>
    </w:p>
    <w:p>
      <w:r>
        <w:t>CISA Vulnerability Scanning: Free external vulnerability assessments</w:t>
      </w:r>
    </w:p>
    <w:p>
      <w:r>
        <w:t>MS-ISAC Membership: Free to Utah LEAs - includes 24/7 SOC, threat intel</w:t>
      </w:r>
    </w:p>
    <w:p>
      <w:r>
        <w:t>CISA Security Assessments: Free on-site security evaluations</w:t>
      </w:r>
    </w:p>
    <w:p/>
    <w:p>
      <w:r>
        <w:t>Note: Grant funding should be pursued aggressively to reduce the burden on local budgets. Many grants require matching funds, so budget accordingly.</w:t>
      </w:r>
    </w:p>
    <w:p>
      <w:r>
        <w:br w:type="page"/>
      </w:r>
    </w:p>
    <w:p>
      <w:pPr>
        <w:pStyle w:val="Heading1"/>
      </w:pPr>
      <w:r>
        <w:rPr>
          <w:b/>
          <w:color w:val="002855"/>
          <w:sz w:val="48"/>
        </w:rPr>
        <w:t>6. Appendices</w:t>
      </w:r>
    </w:p>
    <w:p>
      <w:pPr>
        <w:pStyle w:val="Heading2"/>
      </w:pPr>
      <w:r>
        <w:rPr>
          <w:b/>
          <w:color w:val="002855"/>
          <w:sz w:val="36"/>
        </w:rPr>
        <w:t>Appendix A: Glossary of Terms</w:t>
      </w:r>
    </w:p>
    <w:p>
      <w:r>
        <w:rPr>
          <w:b/>
        </w:rPr>
        <w:t xml:space="preserve">EDR: </w:t>
      </w:r>
      <w:r>
        <w:t>Endpoint Detection &amp; Response - Advanced security software that monitors endpoints for threats</w:t>
      </w:r>
    </w:p>
    <w:p>
      <w:r>
        <w:rPr>
          <w:b/>
        </w:rPr>
        <w:t xml:space="preserve">MFA: </w:t>
      </w:r>
      <w:r>
        <w:t>Multi-Factor Authentication - Security mechanism requiring multiple verification methods</w:t>
      </w:r>
    </w:p>
    <w:p>
      <w:r>
        <w:rPr>
          <w:b/>
        </w:rPr>
        <w:t xml:space="preserve">SIEM: </w:t>
      </w:r>
      <w:r>
        <w:t>Security Information &amp; Event Management - Platform for aggregating and analyzing security logs</w:t>
      </w:r>
    </w:p>
    <w:p>
      <w:r>
        <w:rPr>
          <w:b/>
        </w:rPr>
        <w:t xml:space="preserve">DLP: </w:t>
      </w:r>
      <w:r>
        <w:t>Data Loss Prevention - Technology to prevent unauthorized data exfiltration</w:t>
      </w:r>
    </w:p>
    <w:p>
      <w:r>
        <w:rPr>
          <w:b/>
        </w:rPr>
        <w:t xml:space="preserve">MDM: </w:t>
      </w:r>
      <w:r>
        <w:t>Mobile Device Management - Platform for managing and securing mobile devices</w:t>
      </w:r>
    </w:p>
    <w:p>
      <w:r>
        <w:rPr>
          <w:b/>
        </w:rPr>
        <w:t xml:space="preserve">PAM: </w:t>
      </w:r>
      <w:r>
        <w:t>Privileged Access Management - Solution for securing administrative accounts</w:t>
      </w:r>
    </w:p>
    <w:p>
      <w:r>
        <w:rPr>
          <w:b/>
        </w:rPr>
        <w:t xml:space="preserve">SSO: </w:t>
      </w:r>
      <w:r>
        <w:t>Single Sign-On - Authentication scheme allowing users to log in once to access multiple systems</w:t>
      </w:r>
    </w:p>
    <w:p>
      <w:r>
        <w:rPr>
          <w:b/>
        </w:rPr>
        <w:t xml:space="preserve">SOC: </w:t>
      </w:r>
      <w:r>
        <w:t>Security Operations Center - Facility where security professionals monitor and respond to threats</w:t>
      </w:r>
    </w:p>
    <w:p>
      <w:pPr>
        <w:pStyle w:val="Heading2"/>
      </w:pPr>
      <w:r>
        <w:rPr>
          <w:b/>
          <w:color w:val="002855"/>
          <w:sz w:val="36"/>
        </w:rPr>
        <w:t>Appendix B: HB 44 (formerly HB 42) Compliance Checklist</w:t>
      </w:r>
    </w:p>
    <w:p>
      <w:r>
        <w:t>Use this checklist to track compliance with HB 44 requirements. Note: Specific standards, timelines, and assessment requirements will be further defined through Cybersecurity Commission rulemaking.</w:t>
      </w:r>
    </w:p>
    <w:p>
      <w:pPr>
        <w:pStyle w:val="ListBullet"/>
      </w:pPr>
      <w:r>
        <w:t>☐ Adopt recognized cybersecurity framework (NIST CSF or CIS Controls)</w:t>
      </w:r>
    </w:p>
    <w:p>
      <w:pPr>
        <w:pStyle w:val="ListBullet"/>
      </w:pPr>
      <w:r>
        <w:t>☐ Conduct annual risk assessment with documentation</w:t>
      </w:r>
    </w:p>
    <w:p>
      <w:pPr>
        <w:pStyle w:val="ListBullet"/>
      </w:pPr>
      <w:r>
        <w:t>☐ Maintain written incident response plan</w:t>
      </w:r>
    </w:p>
    <w:p>
      <w:pPr>
        <w:pStyle w:val="ListBullet"/>
      </w:pPr>
      <w:r>
        <w:t>☐ Establish breach notification procedures (notification timeline to be defined by Cybersecurity Commission rules)</w:t>
      </w:r>
    </w:p>
    <w:p>
      <w:pPr>
        <w:pStyle w:val="ListBullet"/>
      </w:pPr>
      <w:r>
        <w:t>☐ Provide annual security awareness training for all staff</w:t>
      </w:r>
    </w:p>
    <w:p>
      <w:pPr>
        <w:pStyle w:val="ListBullet"/>
      </w:pPr>
      <w:r>
        <w:t>☐ Designate Information Security Officer</w:t>
      </w:r>
    </w:p>
    <w:p>
      <w:pPr>
        <w:pStyle w:val="ListBullet"/>
      </w:pPr>
      <w:r>
        <w:t>☐ Implement technical controls (MFA, endpoint protection, etc.)</w:t>
      </w:r>
    </w:p>
    <w:p>
      <w:pPr>
        <w:pStyle w:val="ListBullet"/>
      </w:pPr>
      <w:r>
        <w:t>☐ Submit compliance reports per timelines to be established by the Cybersecurity Commission</w:t>
      </w:r>
    </w:p>
    <w:p>
      <w:pPr>
        <w:pStyle w:val="Heading2"/>
      </w:pPr>
      <w:r>
        <w:rPr>
          <w:b/>
          <w:color w:val="002855"/>
          <w:sz w:val="36"/>
        </w:rPr>
        <w:t>Appendix C: Vendor Evaluation Scorecard</w:t>
      </w:r>
    </w:p>
    <w:p>
      <w:r>
        <w:t>Use this scorecard to evaluate cybersecurity vendors: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Criteria</w:t>
            </w:r>
          </w:p>
        </w:tc>
        <w:tc>
          <w:tcPr>
            <w:tcW w:type="dxa" w:w="2160"/>
          </w:tcPr>
          <w:p>
            <w:r>
              <w:t>Weight</w:t>
            </w:r>
          </w:p>
        </w:tc>
        <w:tc>
          <w:tcPr>
            <w:tcW w:type="dxa" w:w="2160"/>
          </w:tcPr>
          <w:p>
            <w:r>
              <w:t>Score (1-5)</w:t>
            </w:r>
          </w:p>
        </w:tc>
        <w:tc>
          <w:tcPr>
            <w:tcW w:type="dxa" w:w="2160"/>
          </w:tcPr>
          <w:p>
            <w:r>
              <w:t>Weighted Score</w:t>
            </w:r>
          </w:p>
        </w:tc>
      </w:tr>
      <w:tr>
        <w:tc>
          <w:tcPr>
            <w:tcW w:type="dxa" w:w="2160"/>
          </w:tcPr>
          <w:p>
            <w:r>
              <w:t>Technical Capability</w:t>
            </w:r>
          </w:p>
        </w:tc>
        <w:tc>
          <w:tcPr>
            <w:tcW w:type="dxa" w:w="2160"/>
          </w:tcPr>
          <w:p>
            <w:r>
              <w:t>25%</w:t>
            </w:r>
          </w:p>
        </w:tc>
        <w:tc>
          <w:tcPr>
            <w:tcW w:type="dxa" w:w="2160"/>
          </w:tcPr>
          <w:p>
            <w:r>
              <w:t>[  ]</w:t>
            </w:r>
          </w:p>
        </w:tc>
        <w:tc>
          <w:tcPr>
            <w:tcW w:type="dxa" w:w="2160"/>
          </w:tcPr>
          <w:p>
            <w:r>
              <w:t>[  ]</w:t>
            </w:r>
          </w:p>
        </w:tc>
      </w:tr>
      <w:tr>
        <w:tc>
          <w:tcPr>
            <w:tcW w:type="dxa" w:w="2160"/>
          </w:tcPr>
          <w:p>
            <w:r>
              <w:t>Total Cost of Ownership</w:t>
            </w:r>
          </w:p>
        </w:tc>
        <w:tc>
          <w:tcPr>
            <w:tcW w:type="dxa" w:w="2160"/>
          </w:tcPr>
          <w:p>
            <w:r>
              <w:t>25%</w:t>
            </w:r>
          </w:p>
        </w:tc>
        <w:tc>
          <w:tcPr>
            <w:tcW w:type="dxa" w:w="2160"/>
          </w:tcPr>
          <w:p>
            <w:r>
              <w:t>[  ]</w:t>
            </w:r>
          </w:p>
        </w:tc>
        <w:tc>
          <w:tcPr>
            <w:tcW w:type="dxa" w:w="2160"/>
          </w:tcPr>
          <w:p>
            <w:r>
              <w:t>[  ]</w:t>
            </w:r>
          </w:p>
        </w:tc>
      </w:tr>
      <w:tr>
        <w:tc>
          <w:tcPr>
            <w:tcW w:type="dxa" w:w="2160"/>
          </w:tcPr>
          <w:p>
            <w:r>
              <w:t>Ease of Implementation</w:t>
            </w:r>
          </w:p>
        </w:tc>
        <w:tc>
          <w:tcPr>
            <w:tcW w:type="dxa" w:w="2160"/>
          </w:tcPr>
          <w:p>
            <w:r>
              <w:t>15%</w:t>
            </w:r>
          </w:p>
        </w:tc>
        <w:tc>
          <w:tcPr>
            <w:tcW w:type="dxa" w:w="2160"/>
          </w:tcPr>
          <w:p>
            <w:r>
              <w:t>[  ]</w:t>
            </w:r>
          </w:p>
        </w:tc>
        <w:tc>
          <w:tcPr>
            <w:tcW w:type="dxa" w:w="2160"/>
          </w:tcPr>
          <w:p>
            <w:r>
              <w:t>[  ]</w:t>
            </w:r>
          </w:p>
        </w:tc>
      </w:tr>
      <w:tr>
        <w:tc>
          <w:tcPr>
            <w:tcW w:type="dxa" w:w="2160"/>
          </w:tcPr>
          <w:p>
            <w:r>
              <w:t>User Experience</w:t>
            </w:r>
          </w:p>
        </w:tc>
        <w:tc>
          <w:tcPr>
            <w:tcW w:type="dxa" w:w="2160"/>
          </w:tcPr>
          <w:p>
            <w:r>
              <w:t>15%</w:t>
            </w:r>
          </w:p>
        </w:tc>
        <w:tc>
          <w:tcPr>
            <w:tcW w:type="dxa" w:w="2160"/>
          </w:tcPr>
          <w:p>
            <w:r>
              <w:t>[  ]</w:t>
            </w:r>
          </w:p>
        </w:tc>
        <w:tc>
          <w:tcPr>
            <w:tcW w:type="dxa" w:w="2160"/>
          </w:tcPr>
          <w:p>
            <w:r>
              <w:t>[  ]</w:t>
            </w:r>
          </w:p>
        </w:tc>
      </w:tr>
      <w:tr>
        <w:tc>
          <w:tcPr>
            <w:tcW w:type="dxa" w:w="2160"/>
          </w:tcPr>
          <w:p>
            <w:r>
              <w:t>Vendor Reputation</w:t>
            </w:r>
          </w:p>
        </w:tc>
        <w:tc>
          <w:tcPr>
            <w:tcW w:type="dxa" w:w="2160"/>
          </w:tcPr>
          <w:p>
            <w:r>
              <w:t>10%</w:t>
            </w:r>
          </w:p>
        </w:tc>
        <w:tc>
          <w:tcPr>
            <w:tcW w:type="dxa" w:w="2160"/>
          </w:tcPr>
          <w:p>
            <w:r>
              <w:t>[  ]</w:t>
            </w:r>
          </w:p>
        </w:tc>
        <w:tc>
          <w:tcPr>
            <w:tcW w:type="dxa" w:w="2160"/>
          </w:tcPr>
          <w:p>
            <w:r>
              <w:t>[  ]</w:t>
            </w:r>
          </w:p>
        </w:tc>
      </w:tr>
      <w:tr>
        <w:tc>
          <w:tcPr>
            <w:tcW w:type="dxa" w:w="2160"/>
          </w:tcPr>
          <w:p>
            <w:r>
              <w:t>Support Quality</w:t>
            </w:r>
          </w:p>
        </w:tc>
        <w:tc>
          <w:tcPr>
            <w:tcW w:type="dxa" w:w="2160"/>
          </w:tcPr>
          <w:p>
            <w:r>
              <w:t>10%</w:t>
            </w:r>
          </w:p>
        </w:tc>
        <w:tc>
          <w:tcPr>
            <w:tcW w:type="dxa" w:w="2160"/>
          </w:tcPr>
          <w:p>
            <w:r>
              <w:t>[  ]</w:t>
            </w:r>
          </w:p>
        </w:tc>
        <w:tc>
          <w:tcPr>
            <w:tcW w:type="dxa" w:w="2160"/>
          </w:tcPr>
          <w:p>
            <w:r>
              <w:t>[  ]</w:t>
            </w:r>
          </w:p>
        </w:tc>
      </w:tr>
    </w:tbl>
    <w:p/>
    <w:p>
      <w:r>
        <w:t>Total Score: [____] / 5.0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50565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