
<file path=[Content_Types].xml><?xml version="1.0" encoding="utf-8"?>
<Types xmlns="http://schemas.openxmlformats.org/package/2006/content-types">
  <Default Extension="xml" ContentType="application/xml"/>
  <Override PartName="/word/document.xml" ContentType="application/vnd.openxmlformats-officedocument.wordprocessingml.document.main+xml"/>
  <Default Extension="png" ContentType="image/png"/>
  <Default Extension="rels" ContentType="application/vnd.openxmlformats-package.relationships+xml"/>
  <Override PartName="/word/styles.xml" ContentType="application/vnd.openxmlformats-officedocument.wordprocessingml.styles+xml"/>
  <Override PartName="/word/numbering.xml" ContentType="application/vnd.openxmlformats-officedocument.wordprocessingml.numbering+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Types>
</file>

<file path=_rels/.rels><?xml version="1.0" encoding="UTF-8"?><Relationships xmlns="http://schemas.openxmlformats.org/package/2006/relationships"><Relationship Type="http://schemas.openxmlformats.org/officeDocument/2006/relationships/officeDocument" Target="/word/document.xml" Id="Rd26622030e154886"/></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0000" cy="10692000"/>
            <wp:effectExtent l="0" t="0" r="0" b="0"/>
            <wp:wrapNone/>
            <wp:docPr id="1" name="CoverBackground"/>
            <wp:cNvGraphicFramePr>
              <a:graphicFrameLocks noChangeAspect="1"/>
            </wp:cNvGraphicFramePr>
            <a:graphic>
              <a:graphicData uri="http://schemas.openxmlformats.org/drawingml/2006/picture">
                <pic:pic>
                  <pic:nvPicPr>
                    <pic:cNvPr id="0" name="CoverBackground.png"/>
                    <pic:cNvPicPr/>
                  </pic:nvPicPr>
                  <pic:blipFill>
                    <a:blip r:embed="Rf5ce38dd64df4e25"/>
                    <a:stretch>
                      <a:fillRect/>
                    </a:stretch>
                  </pic:blipFill>
                  <pic:spPr>
                    <a:xfrm>
                      <a:off x="0" y="0"/>
                      <a:ext cx="7560000" cy="10692000"/>
                    </a:xfrm>
                    <a:prstGeom prst="rect"/>
                  </pic:spPr>
                </pic:pic>
              </a:graphicData>
            </a:graphic>
          </wp:anchor>
        </w:drawing>
      </w:r>
    </w:p>
    <w:p>
      <w:pPr>
        <w:spacing w:before="4500"/>
      </w:pPr>
      <w:r/>
    </w:p>
    <w:p>
      <w:pPr>
        <w:spacing w:after="200"/>
        <w:ind w:left="1000"/>
        <w:jc w:val="left"/>
      </w:pPr>
      <w:r>
        <w:rPr>
          <w:color w:val="b39700"/>
          <w:spacing w:val="60"/>
          <w:sz w:val="22"/>
        </w:rPr>
        <w:t>UTAH CYBER ALLIANCE</w:t>
      </w:r>
    </w:p>
    <w:p>
      <w:pPr>
        <w:spacing w:after="200"/>
        <w:ind w:left="1000" w:right="1000"/>
        <w:jc w:val="left"/>
      </w:pPr>
      <w:r>
        <w:rPr>
          <w:b/>
          <w:color w:val="ffffff"/>
          <w:sz w:val="72"/>
        </w:rPr>
        <w:t>Utah HB 44</w:t>
      </w:r>
    </w:p>
    <w:p>
      <w:pPr>
        <w:spacing w:after="400"/>
        <w:ind w:left="1000" w:right="1000"/>
        <w:jc w:val="left"/>
      </w:pPr>
      <w:r>
        <w:rPr>
          <w:color w:val="ffffff"/>
          <w:sz w:val="44"/>
        </w:rPr>
        <w:t>School Cybersecurity</w:t>
      </w:r>
      <w:r>
        <w:br/>
      </w:r>
      <w:r>
        <w:rPr>
          <w:color w:val="ffffff"/>
          <w:sz w:val="44"/>
        </w:rPr>
        <w:t>Amendments</w:t>
      </w:r>
    </w:p>
    <w:p>
      <w:pPr>
        <w:spacing w:after="3000"/>
        <w:ind w:left="1000"/>
        <w:jc w:val="left"/>
      </w:pPr>
      <w:r>
        <w:rPr>
          <w:color w:val="f05023"/>
          <w:sz w:val="28"/>
        </w:rPr>
        <w:t>Implementation Guide</w:t>
      </w:r>
    </w:p>
    <w:p>
      <w:pPr>
        <w:spacing w:after="120"/>
        <w:ind w:left="1000"/>
        <w:jc w:val="left"/>
      </w:pPr>
      <w:r>
        <w:rPr>
          <w:color w:val="aaaaaa"/>
          <w:sz w:val="20"/>
        </w:rPr>
        <w:t>For Utah Local Education Agencies (LEAs)</w:t>
      </w:r>
    </w:p>
    <w:p>
      <w:pPr>
        <w:ind w:left="1000"/>
        <w:jc w:val="left"/>
      </w:pPr>
      <w:r>
        <w:rPr>
          <w:color w:val="888888"/>
          <w:sz w:val="18"/>
        </w:rPr>
        <w:t>Per timelines established by the Cybersecurity Commission</w:t>
      </w:r>
    </w:p>
    <w:p>
      <w:pPr>
        <w:sectPr>
          <w:type w:val="nextPage"/>
          <w:pgSz w:w="11906" w:h="16838"/>
          <w:pgMar w:top="0" w:right="0" w:bottom="0" w:left="0" w:header="0" w:footer="0"/>
        </w:sectPr>
      </w:pPr>
    </w:p>
    <w:p>
      <w:pPr>
        <w:spacing w:before="600" w:after="200"/>
      </w:pPr>
      <w:r>
        <w:rPr>
          <w:b/>
          <w:color w:val="002855"/>
          <w:sz w:val="40"/>
        </w:rPr>
        <w:t>Table of Contents</w:t>
      </w:r>
    </w:p>
    <w:p>
      <w:pPr>
        <w:spacing w:after="400"/>
      </w:pPr>
      <w:r>
        <w:rPr>
          <w:color w:val="50565b"/>
          <w:sz w:val="18"/>
        </w:rPr>
        <w:t>Right-click the TOC and select "Update Field" to refresh page numbers</w:t>
      </w:r>
    </w:p>
    <w:p>
      <w:r>
        <w:fldChar w:fldCharType="begin"/>
        <w:instrText xml:space="preserve"> TOC \o "1-3" \h \z \u </w:instrText>
        <w:fldChar w:fldCharType="separate"/>
      </w:r>
    </w:p>
    <w:p>
      <w:pPr>
        <w:pStyle w:val="TOC1"/>
      </w:pPr>
      <w:r>
        <w:t>Executive Summary</w:t>
        <w:tab/>
        <w:t>3</w:t>
      </w:r>
    </w:p>
    <w:p>
      <w:pPr>
        <w:pStyle w:val="TOC2"/>
      </w:pPr>
      <w:r>
        <w:t>Compliance Timeline</w:t>
        <w:tab/>
        <w:t>3</w:t>
      </w:r>
    </w:p>
    <w:p>
      <w:pPr>
        <w:pStyle w:val="TOC2"/>
      </w:pPr>
      <w:r>
        <w:t>Key Requirements Overview</w:t>
        <w:tab/>
        <w:t>4</w:t>
      </w:r>
    </w:p>
    <w:p>
      <w:pPr>
        <w:pStyle w:val="TOC1"/>
      </w:pPr>
      <w:r>
        <w:t>Cybersecurity Framework Adoption</w:t>
        <w:tab/>
        <w:t>5</w:t>
      </w:r>
    </w:p>
    <w:p>
      <w:pPr>
        <w:pStyle w:val="TOC1"/>
      </w:pPr>
      <w:r>
        <w:t>Annual Risk Assessments</w:t>
        <w:tab/>
        <w:t>7</w:t>
      </w:r>
    </w:p>
    <w:p>
      <w:pPr>
        <w:pStyle w:val="TOC1"/>
      </w:pPr>
      <w:r>
        <w:t>Incident Response Plans</w:t>
        <w:tab/>
        <w:t>9</w:t>
      </w:r>
    </w:p>
    <w:p>
      <w:pPr>
        <w:pStyle w:val="TOC1"/>
      </w:pPr>
      <w:r>
        <w:t>Data Privacy &amp; Student Records</w:t>
        <w:tab/>
        <w:t>11</w:t>
      </w:r>
    </w:p>
    <w:p>
      <w:pPr>
        <w:pStyle w:val="TOC1"/>
      </w:pPr>
      <w:r>
        <w:t>Security Awareness Training</w:t>
        <w:tab/>
        <w:t>13</w:t>
      </w:r>
    </w:p>
    <w:p>
      <w:pPr>
        <w:pStyle w:val="TOC1"/>
      </w:pPr>
      <w:r>
        <w:t>Designated Security Personnel</w:t>
        <w:tab/>
        <w:t>15</w:t>
      </w:r>
    </w:p>
    <w:p>
      <w:pPr>
        <w:pStyle w:val="TOC1"/>
      </w:pPr>
      <w:r>
        <w:t>Vendor Management</w:t>
        <w:tab/>
        <w:t>17</w:t>
      </w:r>
    </w:p>
    <w:p>
      <w:pPr>
        <w:pStyle w:val="TOC1"/>
      </w:pPr>
      <w:r>
        <w:t>Breach Notification Requirements</w:t>
        <w:tab/>
        <w:t>19</w:t>
      </w:r>
    </w:p>
    <w:p>
      <w:pPr>
        <w:pStyle w:val="TOC1"/>
      </w:pPr>
      <w:r>
        <w:t>Network Security Controls</w:t>
        <w:tab/>
        <w:t>21</w:t>
      </w:r>
    </w:p>
    <w:p>
      <w:pPr>
        <w:pStyle w:val="TOC1"/>
      </w:pPr>
      <w:r>
        <w:t>Annual Reporting</w:t>
        <w:tab/>
        <w:t>23</w:t>
      </w:r>
    </w:p>
    <w:p>
      <w:pPr>
        <w:pStyle w:val="TOC1"/>
      </w:pPr>
      <w:r>
        <w:t>Implementation Checklists</w:t>
        <w:tab/>
        <w:t>25</w:t>
      </w:r>
    </w:p>
    <w:p>
      <w:pPr>
        <w:pStyle w:val="TOC1"/>
      </w:pPr>
      <w:r>
        <w:t>Sample Templates</w:t>
        <w:tab/>
        <w:t>29</w:t>
      </w:r>
    </w:p>
    <w:p>
      <w:pPr>
        <w:pStyle w:val="TOC1"/>
      </w:pPr>
      <w:r>
        <w:t>Resources &amp; References</w:t>
        <w:tab/>
        <w:t>35</w:t>
      </w:r>
    </w:p>
    <w:p>
      <w:pPr>
        <w:pStyle w:val="TOC1"/>
      </w:pPr>
      <w:r>
        <w:t>Compliance Calendar</w:t>
        <w:tab/>
        <w:t>37</w:t>
      </w:r>
    </w:p>
    <w:p>
      <w:pPr>
        <w:pStyle w:val="TOC1"/>
      </w:pPr>
      <w:r>
        <w:t>Frequently Asked Questions</w:t>
        <w:tab/>
        <w:t>39</w:t>
      </w:r>
    </w:p>
    <w:p>
      <w:pPr>
        <w:pStyle w:val="TOC1"/>
      </w:pPr>
      <w:r>
        <w:t>Contact &amp; Support</w:t>
        <w:tab/>
        <w:t>43</w:t>
      </w:r>
    </w:p>
    <w:p>
      <w:r>
        <w:fldChar w:fldCharType="end"/>
      </w:r>
    </w:p>
    <w:p>
      <w:pPr>
        <w:sectPr>
          <w:type w:val="nextPage"/>
          <w:pgSz w:w="11906" w:h="16838"/>
          <w:pgMar w:top="1800" w:right="1440" w:bottom="1440" w:left="1440" w:header="720" w:footer="720"/>
        </w:sectPr>
      </w:pPr>
    </w:p>
    <w:p>
      <w:pPr>
        <w:pBdr>
          <w:top w:val="single" w:sz="12" w:space="8" w:color="B39700"/>
          <w:left w:val="single" w:sz="12" w:space="8" w:color="B39700"/>
          <w:bottom w:val="single" w:sz="12" w:space="8" w:color="B39700"/>
          <w:right w:val="single" w:sz="12" w:space="8" w:color="B39700"/>
        </w:pBdr>
        <w:shd w:val="clear" w:color="auto" w:fill="FFF8E1"/>
        <w:spacing w:after="60"/>
      </w:pPr>
      <w:r>
        <w:rPr>
          <w:b/>
          <w:color w:val="002855"/>
          <w:sz w:val="22"/>
        </w:rPr>
        <w:t>LEGISLATIVE NOTE</w:t>
      </w:r>
    </w:p>
    <w:p>
      <w:pPr>
        <w:pBdr>
          <w:top w:val="single" w:sz="12" w:space="8" w:color="B39700"/>
          <w:left w:val="single" w:sz="12" w:space="8" w:color="B39700"/>
          <w:bottom w:val="single" w:sz="12" w:space="8" w:color="B39700"/>
          <w:right w:val="single" w:sz="12" w:space="8" w:color="B39700"/>
        </w:pBdr>
        <w:shd w:val="clear" w:color="auto" w:fill="FFF8E1"/>
        <w:spacing w:after="240"/>
      </w:pPr>
      <w:r>
        <w:rPr>
          <w:color w:val="333333"/>
          <w:sz w:val="20"/>
        </w:rPr>
        <w:t>HB 42 (School Cybersecurity Amendments) was merged into HB 44 (School Security Personnel Standards) via the 7th Substitute (S07) during the 2026 General Session. HB 44 enrolled March 12, 2026. The Cybersecurity Commission now sets specific standards and compliance timelines through administrative rulemaking. USBE continues to provide implementation support. All practical guidance in this document remains applicable — statutory references have been updated to reflect the consolidated bill.</w:t>
      </w:r>
    </w:p>
    <w:p>
      <w:pPr>
        <w:pStyle w:val="Heading1"/>
      </w:pPr>
      <w:bookmarkStart w:name="_Toc001" w:id="001"/>
      <w:r>
        <w:t>Executive Summary</w:t>
      </w:r>
      <w:bookmarkEnd w:id="001"/>
    </w:p>
    <w:p>
      <w:r>
        <w:t>House Bill 44 (HB 44, formerly HB 42) represents a significant advancement in cybersecurity requirements for Utah’s education system. This legislation mandates comprehensive cybersecurity measures for all Local Education Agencies (LEAs), including Utah’s 41 school districts, 140+ charter schools, and the Utah Schools for the Deaf and Blind.</w:t>
      </w:r>
    </w:p>
    <w:p>
      <w:pPr>
        <w:pBdr>
          <w:left w:val="single" w:color="f05023" w:sz="24"/>
        </w:pBdr>
        <w:shd w:val="clear" w:fill="fff0eb"/>
        <w:spacing w:before="200" w:after="200"/>
        <w:ind w:left="200" w:right="200"/>
      </w:pPr>
      <w:r>
        <w:rPr>
          <w:b/>
          <w:color w:val="f05023"/>
          <w:sz w:val="20"/>
        </w:rPr>
        <w:t>KEY HIGHLIGHTS</w:t>
      </w:r>
      <w:r>
        <w:br/>
      </w:r>
      <w:r>
        <w:rPr>
          <w:color w:val="50565b"/>
          <w:sz w:val="20"/>
        </w:rPr>
        <w:t>HB 44 establishes baseline cybersecurity requirements aligned with nationally recognized frameworks</w:t>
      </w:r>
      <w:r>
        <w:br/>
      </w:r>
      <w:r>
        <w:rPr>
          <w:color w:val="50565b"/>
          <w:sz w:val="20"/>
        </w:rPr>
        <w:t>Compliance timelines: per Cybersecurity Commission rulemaking</w:t>
      </w:r>
      <w:r>
        <w:br/>
      </w:r>
      <w:r>
        <w:rPr>
          <w:color w:val="50565b"/>
          <w:sz w:val="20"/>
        </w:rPr>
        <w:t>Annual reporting to USBE per Cybersecurity Commission timelines</w:t>
      </w:r>
      <w:r>
        <w:br/>
      </w:r>
      <w:r>
        <w:rPr>
          <w:color w:val="50565b"/>
          <w:sz w:val="20"/>
        </w:rPr>
        <w:t>Breach notification to State Superintendent per Cybersecurity Commission rules</w:t>
      </w:r>
    </w:p>
    <w:p>
      <w:pPr>
        <w:pStyle w:val="Heading2"/>
      </w:pPr>
      <w:r>
        <w:t>Compliance Timeline</w:t>
      </w:r>
    </w:p>
    <w:p>
      <w:r>
        <w:t>The following timeline outlines key milestones for achieving and maintaining compliance with HB 44 requirements:</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2500"/>
        <w:gridCol w:w="3500"/>
        <w:gridCol w:w="4000"/>
      </w:tblGrid>
      <w:tr>
        <w:trPr>
          <w:tblHeader/>
          <w:trHeight w:val="400" w:hRule="atLeast"/>
        </w:trPr>
        <w:tc>
          <w:tcPr>
            <w:tcW w:w="0" w:type="auto"/>
            <w:shd w:val="clear" w:fill="002855"/>
            <w:vAlign w:val="center"/>
          </w:tcPr>
          <w:p>
            <w:pPr>
              <w:spacing w:before="0" w:after="0"/>
              <w:jc w:val="left"/>
            </w:pPr>
            <w:r>
              <w:rPr>
                <w:b/>
                <w:color w:val="ffffff"/>
                <w:sz w:val="20"/>
              </w:rPr>
              <w:t>Date</w:t>
            </w:r>
          </w:p>
        </w:tc>
        <w:tc>
          <w:tcPr>
            <w:tcW w:w="0" w:type="auto"/>
            <w:shd w:val="clear" w:fill="002855"/>
            <w:vAlign w:val="center"/>
          </w:tcPr>
          <w:p>
            <w:pPr>
              <w:spacing w:before="0" w:after="0"/>
              <w:jc w:val="left"/>
            </w:pPr>
            <w:r>
              <w:rPr>
                <w:b/>
                <w:color w:val="ffffff"/>
                <w:sz w:val="20"/>
              </w:rPr>
              <w:t>Milestone</w:t>
            </w:r>
          </w:p>
        </w:tc>
        <w:tc>
          <w:tcPr>
            <w:tcW w:w="0" w:type="auto"/>
            <w:shd w:val="clear" w:fill="002855"/>
            <w:vAlign w:val="center"/>
          </w:tcPr>
          <w:p>
            <w:pPr>
              <w:spacing w:before="0" w:after="0"/>
              <w:jc w:val="left"/>
            </w:pPr>
            <w:r>
              <w:rPr>
                <w:b/>
                <w:color w:val="ffffff"/>
                <w:sz w:val="20"/>
              </w:rPr>
              <w:t>Action Items</w:t>
            </w:r>
          </w:p>
        </w:tc>
      </w:tr>
      <w:tr>
        <w:trPr>
          <w:trHeight w:val="360" w:hRule="atLeast"/>
        </w:trPr>
        <w:tc>
          <w:tcPr>
            <w:tcW w:w="0" w:type="auto"/>
            <w:vAlign w:val="center"/>
          </w:tcPr>
          <w:p>
            <w:pPr>
              <w:spacing w:before="0" w:after="0"/>
              <w:jc w:val="left"/>
            </w:pPr>
            <w:r>
              <w:rPr>
                <w:color w:val="50565b"/>
                <w:sz w:val="20"/>
              </w:rPr>
              <w:t>January 2025</w:t>
            </w:r>
          </w:p>
        </w:tc>
        <w:tc>
          <w:tcPr>
            <w:tcW w:w="0" w:type="auto"/>
            <w:vAlign w:val="center"/>
          </w:tcPr>
          <w:p>
            <w:pPr>
              <w:spacing w:before="0" w:after="0"/>
              <w:jc w:val="left"/>
            </w:pPr>
            <w:r>
              <w:rPr>
                <w:color w:val="50565b"/>
                <w:sz w:val="20"/>
              </w:rPr>
              <w:t>HB 44 Enacted (formerly HB 42)</w:t>
            </w:r>
          </w:p>
        </w:tc>
        <w:tc>
          <w:tcPr>
            <w:tcW w:w="0" w:type="auto"/>
            <w:vAlign w:val="center"/>
          </w:tcPr>
          <w:p>
            <w:pPr>
              <w:spacing w:before="0" w:after="0"/>
              <w:jc w:val="left"/>
            </w:pPr>
            <w:r>
              <w:rPr>
                <w:color w:val="50565b"/>
                <w:sz w:val="20"/>
              </w:rPr>
              <w:t>Review legislation, begin planning</w:t>
            </w:r>
          </w:p>
        </w:tc>
      </w:tr>
      <w:tr>
        <w:trPr>
          <w:trHeight w:val="360" w:hRule="atLeast"/>
        </w:trPr>
        <w:tc>
          <w:tcPr>
            <w:tcW w:w="0" w:type="auto"/>
            <w:vAlign w:val="center"/>
          </w:tcPr>
          <w:p>
            <w:pPr>
              <w:spacing w:before="0" w:after="0"/>
              <w:jc w:val="left"/>
            </w:pPr>
            <w:r>
              <w:rPr>
                <w:color w:val="50565b"/>
                <w:sz w:val="20"/>
              </w:rPr>
              <w:t>March 2025</w:t>
            </w:r>
          </w:p>
        </w:tc>
        <w:tc>
          <w:tcPr>
            <w:tcW w:w="0" w:type="auto"/>
            <w:vAlign w:val="center"/>
          </w:tcPr>
          <w:p>
            <w:pPr>
              <w:spacing w:before="0" w:after="0"/>
              <w:jc w:val="left"/>
            </w:pPr>
            <w:r>
              <w:rPr>
                <w:color w:val="50565b"/>
                <w:sz w:val="20"/>
              </w:rPr>
              <w:t>Guidance Released</w:t>
            </w:r>
          </w:p>
        </w:tc>
        <w:tc>
          <w:tcPr>
            <w:tcW w:w="0" w:type="auto"/>
            <w:vAlign w:val="center"/>
          </w:tcPr>
          <w:p>
            <w:pPr>
              <w:spacing w:before="0" w:after="0"/>
              <w:jc w:val="left"/>
            </w:pPr>
            <w:r>
              <w:rPr>
                <w:color w:val="50565b"/>
                <w:sz w:val="20"/>
              </w:rPr>
              <w:t>Review USBE implementation guidance</w:t>
            </w:r>
          </w:p>
        </w:tc>
      </w:tr>
      <w:tr>
        <w:trPr>
          <w:trHeight w:val="360" w:hRule="atLeast"/>
        </w:trPr>
        <w:tc>
          <w:tcPr>
            <w:tcW w:w="0" w:type="auto"/>
            <w:vAlign w:val="center"/>
          </w:tcPr>
          <w:p>
            <w:pPr>
              <w:spacing w:before="0" w:after="0"/>
              <w:jc w:val="left"/>
            </w:pPr>
            <w:r>
              <w:rPr>
                <w:color w:val="50565b"/>
                <w:sz w:val="20"/>
              </w:rPr>
              <w:t>July 2025</w:t>
            </w:r>
          </w:p>
        </w:tc>
        <w:tc>
          <w:tcPr>
            <w:tcW w:w="0" w:type="auto"/>
            <w:vAlign w:val="center"/>
          </w:tcPr>
          <w:p>
            <w:pPr>
              <w:spacing w:before="0" w:after="0"/>
              <w:jc w:val="left"/>
            </w:pPr>
            <w:r>
              <w:rPr>
                <w:color w:val="50565b"/>
                <w:sz w:val="20"/>
              </w:rPr>
              <w:t>Planning Phase</w:t>
            </w:r>
          </w:p>
        </w:tc>
        <w:tc>
          <w:tcPr>
            <w:tcW w:w="0" w:type="auto"/>
            <w:vAlign w:val="center"/>
          </w:tcPr>
          <w:p>
            <w:pPr>
              <w:spacing w:before="0" w:after="0"/>
              <w:jc w:val="left"/>
            </w:pPr>
            <w:r>
              <w:rPr>
                <w:color w:val="50565b"/>
                <w:sz w:val="20"/>
              </w:rPr>
              <w:t>Complete asset inventory, gap analysis</w:t>
            </w:r>
          </w:p>
        </w:tc>
      </w:tr>
      <w:tr>
        <w:trPr>
          <w:trHeight w:val="360" w:hRule="atLeast"/>
        </w:trPr>
        <w:tc>
          <w:tcPr>
            <w:tcW w:w="0" w:type="auto"/>
            <w:vAlign w:val="center"/>
          </w:tcPr>
          <w:p>
            <w:pPr>
              <w:spacing w:before="0" w:after="0"/>
              <w:jc w:val="left"/>
            </w:pPr>
            <w:r>
              <w:rPr>
                <w:color w:val="50565b"/>
                <w:sz w:val="20"/>
              </w:rPr>
              <w:t>October 2025</w:t>
            </w:r>
          </w:p>
        </w:tc>
        <w:tc>
          <w:tcPr>
            <w:tcW w:w="0" w:type="auto"/>
            <w:vAlign w:val="center"/>
          </w:tcPr>
          <w:p>
            <w:pPr>
              <w:spacing w:before="0" w:after="0"/>
              <w:jc w:val="left"/>
            </w:pPr>
            <w:r>
              <w:rPr>
                <w:color w:val="50565b"/>
                <w:sz w:val="20"/>
              </w:rPr>
              <w:t>Framework Selection</w:t>
            </w:r>
          </w:p>
        </w:tc>
        <w:tc>
          <w:tcPr>
            <w:tcW w:w="0" w:type="auto"/>
            <w:vAlign w:val="center"/>
          </w:tcPr>
          <w:p>
            <w:pPr>
              <w:spacing w:before="0" w:after="0"/>
              <w:jc w:val="left"/>
            </w:pPr>
            <w:r>
              <w:rPr>
                <w:color w:val="50565b"/>
                <w:sz w:val="20"/>
              </w:rPr>
              <w:t>Adopt cybersecurity framework</w:t>
            </w:r>
          </w:p>
        </w:tc>
      </w:tr>
      <w:tr>
        <w:trPr>
          <w:trHeight w:val="360" w:hRule="atLeast"/>
        </w:trPr>
        <w:tc>
          <w:tcPr>
            <w:tcW w:w="0" w:type="auto"/>
            <w:vAlign w:val="center"/>
          </w:tcPr>
          <w:p>
            <w:pPr>
              <w:spacing w:before="0" w:after="0"/>
              <w:jc w:val="left"/>
            </w:pPr>
            <w:r>
              <w:rPr>
                <w:color w:val="50565b"/>
                <w:sz w:val="20"/>
              </w:rPr>
              <w:t>January 2026</w:t>
            </w:r>
          </w:p>
        </w:tc>
        <w:tc>
          <w:tcPr>
            <w:tcW w:w="0" w:type="auto"/>
            <w:vAlign w:val="center"/>
          </w:tcPr>
          <w:p>
            <w:pPr>
              <w:spacing w:before="0" w:after="0"/>
              <w:jc w:val="left"/>
            </w:pPr>
            <w:r>
              <w:rPr>
                <w:color w:val="50565b"/>
                <w:sz w:val="20"/>
              </w:rPr>
              <w:t>Implementation</w:t>
            </w:r>
          </w:p>
        </w:tc>
        <w:tc>
          <w:tcPr>
            <w:tcW w:w="0" w:type="auto"/>
            <w:vAlign w:val="center"/>
          </w:tcPr>
          <w:p>
            <w:pPr>
              <w:spacing w:before="0" w:after="0"/>
              <w:jc w:val="left"/>
            </w:pPr>
            <w:r>
              <w:rPr>
                <w:color w:val="50565b"/>
                <w:sz w:val="20"/>
              </w:rPr>
              <w:t>Deploy technical controls, begin training</w:t>
            </w:r>
          </w:p>
        </w:tc>
      </w:tr>
      <w:tr>
        <w:trPr>
          <w:trHeight w:val="360" w:hRule="atLeast"/>
        </w:trPr>
        <w:tc>
          <w:tcPr>
            <w:tcW w:w="0" w:type="auto"/>
            <w:vAlign w:val="center"/>
          </w:tcPr>
          <w:p>
            <w:pPr>
              <w:spacing w:before="0" w:after="0"/>
              <w:jc w:val="left"/>
            </w:pPr>
            <w:r>
              <w:rPr>
                <w:color w:val="50565b"/>
                <w:sz w:val="20"/>
              </w:rPr>
              <w:t>April 2026</w:t>
            </w:r>
          </w:p>
        </w:tc>
        <w:tc>
          <w:tcPr>
            <w:tcW w:w="0" w:type="auto"/>
            <w:vAlign w:val="center"/>
          </w:tcPr>
          <w:p>
            <w:pPr>
              <w:spacing w:before="0" w:after="0"/>
              <w:jc w:val="left"/>
            </w:pPr>
            <w:r>
              <w:rPr>
                <w:color w:val="50565b"/>
                <w:sz w:val="20"/>
              </w:rPr>
              <w:t>Documentation</w:t>
            </w:r>
          </w:p>
        </w:tc>
        <w:tc>
          <w:tcPr>
            <w:tcW w:w="0" w:type="auto"/>
            <w:vAlign w:val="center"/>
          </w:tcPr>
          <w:p>
            <w:pPr>
              <w:spacing w:before="0" w:after="0"/>
              <w:jc w:val="left"/>
            </w:pPr>
            <w:r>
              <w:rPr>
                <w:color w:val="50565b"/>
                <w:sz w:val="20"/>
              </w:rPr>
              <w:t>Complete policies, incident response plan</w:t>
            </w:r>
          </w:p>
        </w:tc>
      </w:tr>
      <w:tr>
        <w:trPr>
          <w:trHeight w:val="360" w:hRule="atLeast"/>
        </w:trPr>
        <w:tc>
          <w:tcPr>
            <w:tcW w:w="0" w:type="auto"/>
            <w:vAlign w:val="center"/>
          </w:tcPr>
          <w:p>
            <w:pPr>
              <w:spacing w:before="0" w:after="0"/>
              <w:jc w:val="left"/>
            </w:pPr>
            <w:r>
              <w:rPr>
                <w:color w:val="50565b"/>
                <w:sz w:val="20"/>
              </w:rPr>
              <w:t>Per Commission</w:t>
            </w:r>
          </w:p>
        </w:tc>
        <w:tc>
          <w:tcPr>
            <w:tcW w:w="0" w:type="auto"/>
            <w:vAlign w:val="center"/>
          </w:tcPr>
          <w:p>
            <w:pPr>
              <w:spacing w:before="0" w:after="0"/>
              <w:jc w:val="left"/>
            </w:pPr>
            <w:r>
              <w:rPr>
                <w:color w:val="50565b"/>
                <w:sz w:val="20"/>
              </w:rPr>
              <w:t>Compliance Deadline</w:t>
            </w:r>
          </w:p>
        </w:tc>
        <w:tc>
          <w:tcPr>
            <w:tcW w:w="0" w:type="auto"/>
            <w:vAlign w:val="center"/>
          </w:tcPr>
          <w:p>
            <w:pPr>
              <w:spacing w:before="0" w:after="0"/>
              <w:jc w:val="left"/>
            </w:pPr>
            <w:r>
              <w:rPr>
                <w:color w:val="50565b"/>
                <w:sz w:val="20"/>
              </w:rPr>
              <w:t>All requirements operational</w:t>
            </w:r>
          </w:p>
        </w:tc>
      </w:tr>
      <w:tr>
        <w:trPr>
          <w:trHeight w:val="360" w:hRule="atLeast"/>
        </w:trPr>
        <w:tc>
          <w:tcPr>
            <w:tcW w:w="0" w:type="auto"/>
            <w:vAlign w:val="center"/>
          </w:tcPr>
          <w:p>
            <w:pPr>
              <w:spacing w:before="0" w:after="0"/>
              <w:jc w:val="left"/>
            </w:pPr>
            <w:r>
              <w:rPr>
                <w:color w:val="50565b"/>
                <w:sz w:val="20"/>
              </w:rPr>
              <w:t>Per Commission</w:t>
            </w:r>
          </w:p>
        </w:tc>
        <w:tc>
          <w:tcPr>
            <w:tcW w:w="0" w:type="auto"/>
            <w:vAlign w:val="center"/>
          </w:tcPr>
          <w:p>
            <w:pPr>
              <w:spacing w:before="0" w:after="0"/>
              <w:jc w:val="left"/>
            </w:pPr>
            <w:r>
              <w:rPr>
                <w:color w:val="50565b"/>
                <w:sz w:val="20"/>
              </w:rPr>
              <w:t>First Report Due</w:t>
            </w:r>
          </w:p>
        </w:tc>
        <w:tc>
          <w:tcPr>
            <w:tcW w:w="0" w:type="auto"/>
            <w:vAlign w:val="center"/>
          </w:tcPr>
          <w:p>
            <w:pPr>
              <w:spacing w:before="0" w:after="0"/>
              <w:jc w:val="left"/>
            </w:pPr>
            <w:r>
              <w:rPr>
                <w:color w:val="50565b"/>
                <w:sz w:val="20"/>
              </w:rPr>
              <w:t>Submit annual compliance report to USBE</w:t>
            </w:r>
          </w:p>
        </w:tc>
      </w:tr>
    </w:tbl>
    <w:p>
      <w:pPr>
        <w:pStyle w:val="Heading2"/>
      </w:pPr>
      <w:r>
        <w:t>Key Requirements Overview</w:t>
      </w:r>
    </w:p>
    <w:p>
      <w:r>
        <w:t>HB 44 establishes ten core requirements that LEAs must implement:</w:t>
      </w:r>
    </w:p>
    <w:p>
      <w:pPr>
        <w:numPr>
          <w:ilvl w:val="0"/>
          <w:numId w:val="2"/>
        </w:numPr>
        <w:spacing w:after="80"/>
      </w:pPr>
      <w:r>
        <w:rPr>
          <w:b/>
          <w:color w:val="002855"/>
        </w:rPr>
        <w:t xml:space="preserve">1. </w:t>
      </w:r>
      <w:r>
        <w:t>Cybersecurity Framework Adoption - Implement NIST CSF, CIS Controls, or equivalent</w:t>
      </w:r>
    </w:p>
    <w:p>
      <w:pPr>
        <w:numPr>
          <w:ilvl w:val="0"/>
          <w:numId w:val="2"/>
        </w:numPr>
        <w:spacing w:after="80"/>
      </w:pPr>
      <w:r>
        <w:rPr>
          <w:b/>
          <w:color w:val="002855"/>
        </w:rPr>
        <w:t xml:space="preserve">2. </w:t>
      </w:r>
      <w:r>
        <w:t>Annual Risk Assessments - Documented annual cybersecurity risk evaluations</w:t>
      </w:r>
    </w:p>
    <w:p>
      <w:pPr>
        <w:numPr>
          <w:ilvl w:val="0"/>
          <w:numId w:val="2"/>
        </w:numPr>
        <w:spacing w:after="80"/>
      </w:pPr>
      <w:r>
        <w:rPr>
          <w:b/>
          <w:color w:val="002855"/>
        </w:rPr>
        <w:t xml:space="preserve">3. </w:t>
      </w:r>
      <w:r>
        <w:t>Incident Response Plans - Written procedures and breach notification protocols</w:t>
      </w:r>
    </w:p>
    <w:p>
      <w:pPr>
        <w:numPr>
          <w:ilvl w:val="0"/>
          <w:numId w:val="2"/>
        </w:numPr>
        <w:spacing w:after="80"/>
      </w:pPr>
      <w:r>
        <w:rPr>
          <w:b/>
          <w:color w:val="002855"/>
        </w:rPr>
        <w:t xml:space="preserve">4. </w:t>
      </w:r>
      <w:r>
        <w:t>Data Privacy &amp; Student Records - FERPA and Utah Code 53E-9 compliance</w:t>
      </w:r>
    </w:p>
    <w:p>
      <w:pPr>
        <w:numPr>
          <w:ilvl w:val="0"/>
          <w:numId w:val="2"/>
        </w:numPr>
        <w:spacing w:after="80"/>
      </w:pPr>
      <w:r>
        <w:rPr>
          <w:b/>
          <w:color w:val="002855"/>
        </w:rPr>
        <w:t xml:space="preserve">5. </w:t>
      </w:r>
      <w:r>
        <w:t>Security Awareness Training - Annual training for all staff with record access</w:t>
      </w:r>
    </w:p>
    <w:p>
      <w:pPr>
        <w:numPr>
          <w:ilvl w:val="0"/>
          <w:numId w:val="2"/>
        </w:numPr>
        <w:spacing w:after="80"/>
      </w:pPr>
      <w:r>
        <w:rPr>
          <w:b/>
          <w:color w:val="002855"/>
        </w:rPr>
        <w:t xml:space="preserve">6. </w:t>
      </w:r>
      <w:r>
        <w:t>Designated Security Personnel - Information Security Officer appointment</w:t>
      </w:r>
    </w:p>
    <w:p>
      <w:pPr>
        <w:numPr>
          <w:ilvl w:val="0"/>
          <w:numId w:val="2"/>
        </w:numPr>
        <w:spacing w:after="80"/>
      </w:pPr>
      <w:r>
        <w:rPr>
          <w:b/>
          <w:color w:val="002855"/>
        </w:rPr>
        <w:t xml:space="preserve">7. </w:t>
      </w:r>
      <w:r>
        <w:t>Vendor Management - Third-party security requirements and data agreements</w:t>
      </w:r>
    </w:p>
    <w:p>
      <w:pPr>
        <w:numPr>
          <w:ilvl w:val="0"/>
          <w:numId w:val="2"/>
        </w:numPr>
        <w:spacing w:after="80"/>
      </w:pPr>
      <w:r>
        <w:rPr>
          <w:b/>
          <w:color w:val="002855"/>
        </w:rPr>
        <w:t xml:space="preserve">8. </w:t>
      </w:r>
      <w:r>
        <w:t>Breach Notification - Notification per Cybersecurity Commission rules for significant breaches</w:t>
      </w:r>
    </w:p>
    <w:p>
      <w:pPr>
        <w:numPr>
          <w:ilvl w:val="0"/>
          <w:numId w:val="2"/>
        </w:numPr>
        <w:spacing w:after="80"/>
      </w:pPr>
      <w:r>
        <w:rPr>
          <w:b/>
          <w:color w:val="002855"/>
        </w:rPr>
        <w:t xml:space="preserve">9. </w:t>
      </w:r>
      <w:r>
        <w:t>Network Security Controls - Baseline technical controls including MFA</w:t>
      </w:r>
    </w:p>
    <w:p>
      <w:pPr>
        <w:numPr>
          <w:ilvl w:val="0"/>
          <w:numId w:val="2"/>
        </w:numPr>
        <w:spacing w:after="80"/>
      </w:pPr>
      <w:r>
        <w:rPr>
          <w:b/>
          <w:color w:val="002855"/>
        </w:rPr>
        <w:t xml:space="preserve">10. </w:t>
      </w:r>
      <w:r>
        <w:t>Annual Reporting - Compliance reporting to USBE per Commission timelines</w:t>
      </w:r>
    </w:p>
    <w:p>
      <w:pPr>
        <w:pStyle w:val="Heading1"/>
      </w:pPr>
      <w:bookmarkStart w:name="_Toc002" w:id="002"/>
      <w:r>
        <w:t>1. Cybersecurity Framework Adoption</w:t>
      </w:r>
      <w:bookmarkEnd w:id="002"/>
    </w:p>
    <w:p>
      <w:r>
        <w:t>HB 44 requires all LEAs to implement a recognized cybersecurity framework. This foundational requirement establishes the structure for all other security controls and processes.</w:t>
      </w:r>
    </w:p>
    <w:p>
      <w:pPr>
        <w:pStyle w:val="Heading2"/>
      </w:pPr>
      <w:r>
        <w:t>Recognized Frameworks</w:t>
      </w:r>
    </w:p>
    <w:p>
      <w:r>
        <w:t>The following frameworks are explicitly recognized under HB 44:</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2500"/>
        <w:gridCol w:w="2500"/>
        <w:gridCol w:w="5000"/>
      </w:tblGrid>
      <w:tr>
        <w:trPr>
          <w:tblHeader/>
          <w:trHeight w:val="400" w:hRule="atLeast"/>
        </w:trPr>
        <w:tc>
          <w:tcPr>
            <w:tcW w:w="0" w:type="auto"/>
            <w:shd w:val="clear" w:fill="002855"/>
            <w:vAlign w:val="center"/>
          </w:tcPr>
          <w:p>
            <w:pPr>
              <w:spacing w:before="0" w:after="0"/>
              <w:jc w:val="left"/>
            </w:pPr>
            <w:r>
              <w:rPr>
                <w:b/>
                <w:color w:val="ffffff"/>
                <w:sz w:val="20"/>
              </w:rPr>
              <w:t>Framework</w:t>
            </w:r>
          </w:p>
        </w:tc>
        <w:tc>
          <w:tcPr>
            <w:tcW w:w="0" w:type="auto"/>
            <w:shd w:val="clear" w:fill="002855"/>
            <w:vAlign w:val="center"/>
          </w:tcPr>
          <w:p>
            <w:pPr>
              <w:spacing w:before="0" w:after="0"/>
              <w:jc w:val="left"/>
            </w:pPr>
            <w:r>
              <w:rPr>
                <w:b/>
                <w:color w:val="ffffff"/>
                <w:sz w:val="20"/>
              </w:rPr>
              <w:t>Best For</w:t>
            </w:r>
          </w:p>
        </w:tc>
        <w:tc>
          <w:tcPr>
            <w:tcW w:w="0" w:type="auto"/>
            <w:shd w:val="clear" w:fill="002855"/>
            <w:vAlign w:val="center"/>
          </w:tcPr>
          <w:p>
            <w:pPr>
              <w:spacing w:before="0" w:after="0"/>
              <w:jc w:val="left"/>
            </w:pPr>
            <w:r>
              <w:rPr>
                <w:b/>
                <w:color w:val="ffffff"/>
                <w:sz w:val="20"/>
              </w:rPr>
              <w:t>Description</w:t>
            </w:r>
          </w:p>
        </w:tc>
      </w:tr>
      <w:tr>
        <w:trPr>
          <w:trHeight w:val="360" w:hRule="atLeast"/>
        </w:trPr>
        <w:tc>
          <w:tcPr>
            <w:tcW w:w="0" w:type="auto"/>
            <w:vAlign w:val="center"/>
          </w:tcPr>
          <w:p>
            <w:pPr>
              <w:spacing w:before="0" w:after="0"/>
              <w:jc w:val="left"/>
            </w:pPr>
            <w:r>
              <w:rPr>
                <w:color w:val="50565b"/>
                <w:sz w:val="20"/>
              </w:rPr>
              <w:t>CIS Controls v8</w:t>
            </w:r>
          </w:p>
        </w:tc>
        <w:tc>
          <w:tcPr>
            <w:tcW w:w="0" w:type="auto"/>
            <w:vAlign w:val="center"/>
          </w:tcPr>
          <w:p>
            <w:pPr>
              <w:spacing w:before="0" w:after="0"/>
              <w:jc w:val="left"/>
            </w:pPr>
            <w:r>
              <w:rPr>
                <w:color w:val="50565b"/>
                <w:sz w:val="20"/>
              </w:rPr>
              <w:t>All LEAs</w:t>
            </w:r>
          </w:p>
        </w:tc>
        <w:tc>
          <w:tcPr>
            <w:tcW w:w="0" w:type="auto"/>
            <w:vAlign w:val="center"/>
          </w:tcPr>
          <w:p>
            <w:pPr>
              <w:spacing w:before="0" w:after="0"/>
              <w:jc w:val="left"/>
            </w:pPr>
            <w:r>
              <w:rPr>
                <w:color w:val="50565b"/>
                <w:sz w:val="20"/>
              </w:rPr>
              <w:t>20 prioritized safeguards with implementation groups (IG1-3)</w:t>
            </w:r>
          </w:p>
        </w:tc>
      </w:tr>
      <w:tr>
        <w:trPr>
          <w:trHeight w:val="360" w:hRule="atLeast"/>
        </w:trPr>
        <w:tc>
          <w:tcPr>
            <w:tcW w:w="0" w:type="auto"/>
            <w:vAlign w:val="center"/>
          </w:tcPr>
          <w:p>
            <w:pPr>
              <w:spacing w:before="0" w:after="0"/>
              <w:jc w:val="left"/>
            </w:pPr>
            <w:r>
              <w:rPr>
                <w:color w:val="50565b"/>
                <w:sz w:val="20"/>
              </w:rPr>
              <w:t>NIST CSF 2.0</w:t>
            </w:r>
          </w:p>
        </w:tc>
        <w:tc>
          <w:tcPr>
            <w:tcW w:w="0" w:type="auto"/>
            <w:vAlign w:val="center"/>
          </w:tcPr>
          <w:p>
            <w:pPr>
              <w:spacing w:before="0" w:after="0"/>
              <w:jc w:val="left"/>
            </w:pPr>
            <w:r>
              <w:rPr>
                <w:color w:val="50565b"/>
                <w:sz w:val="20"/>
              </w:rPr>
              <w:t>Medium-Large</w:t>
            </w:r>
          </w:p>
        </w:tc>
        <w:tc>
          <w:tcPr>
            <w:tcW w:w="0" w:type="auto"/>
            <w:vAlign w:val="center"/>
          </w:tcPr>
          <w:p>
            <w:pPr>
              <w:spacing w:before="0" w:after="0"/>
              <w:jc w:val="left"/>
            </w:pPr>
            <w:r>
              <w:rPr>
                <w:color w:val="50565b"/>
                <w:sz w:val="20"/>
              </w:rPr>
              <w:t>Six core functions: Govern, Identify, Protect, Detect, Respond, Recover</w:t>
            </w:r>
          </w:p>
        </w:tc>
      </w:tr>
      <w:tr>
        <w:trPr>
          <w:trHeight w:val="360" w:hRule="atLeast"/>
        </w:trPr>
        <w:tc>
          <w:tcPr>
            <w:tcW w:w="0" w:type="auto"/>
            <w:vAlign w:val="center"/>
          </w:tcPr>
          <w:p>
            <w:pPr>
              <w:spacing w:before="0" w:after="0"/>
              <w:jc w:val="left"/>
            </w:pPr>
            <w:r>
              <w:rPr>
                <w:color w:val="50565b"/>
                <w:sz w:val="20"/>
              </w:rPr>
              <w:t>NIST 800-171</w:t>
            </w:r>
          </w:p>
        </w:tc>
        <w:tc>
          <w:tcPr>
            <w:tcW w:w="0" w:type="auto"/>
            <w:vAlign w:val="center"/>
          </w:tcPr>
          <w:p>
            <w:pPr>
              <w:spacing w:before="0" w:after="0"/>
              <w:jc w:val="left"/>
            </w:pPr>
            <w:r>
              <w:rPr>
                <w:color w:val="50565b"/>
                <w:sz w:val="20"/>
              </w:rPr>
              <w:t>Organizations with CUI</w:t>
            </w:r>
          </w:p>
        </w:tc>
        <w:tc>
          <w:tcPr>
            <w:tcW w:w="0" w:type="auto"/>
            <w:vAlign w:val="center"/>
          </w:tcPr>
          <w:p>
            <w:pPr>
              <w:spacing w:before="0" w:after="0"/>
              <w:jc w:val="left"/>
            </w:pPr>
            <w:r>
              <w:rPr>
                <w:color w:val="50565b"/>
                <w:sz w:val="20"/>
              </w:rPr>
              <w:t>Requirements for protecting controlled unclassified information</w:t>
            </w:r>
          </w:p>
        </w:tc>
      </w:tr>
    </w:tbl>
    <w:p>
      <w:pPr>
        <w:pStyle w:val="Heading2"/>
      </w:pPr>
      <w:r>
        <w:t>Implementation Guidance</w:t>
      </w:r>
    </w:p>
    <w:p>
      <w:pPr>
        <w:pStyle w:val="Heading3"/>
      </w:pPr>
      <w:r>
        <w:t>For Small Districts/Charter Schools</w:t>
      </w:r>
    </w:p>
    <w:p>
      <w:r>
        <w:t>CIS Controls v8 Implementation Group 1 (IG1) provides a prioritized, prescriptive starting point designed for organizations with limited cybersecurity resources. Focus on these 56 safeguards first.</w:t>
      </w:r>
    </w:p>
    <w:p>
      <w:pPr>
        <w:pStyle w:val="Heading3"/>
      </w:pPr>
      <w:r>
        <w:t>For Medium to Large Districts</w:t>
      </w:r>
    </w:p>
    <w:p>
      <w:r>
        <w:t>NIST Cybersecurity Framework 2.0 offers comprehensive coverage across the six core functions: Govern, Identify, Protect, Detect, Respond, and Recover. Consider implementing IG2 or IG3 of CIS Controls for enhanced security.</w:t>
      </w:r>
    </w:p>
    <w:p>
      <w:pPr>
        <w:pBdr>
          <w:left w:val="single" w:color="7caf2e" w:sz="24"/>
        </w:pBdr>
        <w:shd w:val="clear" w:fill="f0f7e6"/>
        <w:spacing w:before="200" w:after="200"/>
        <w:ind w:left="200" w:right="200"/>
      </w:pPr>
      <w:r>
        <w:rPr>
          <w:b/>
          <w:color w:val="7caf2e"/>
          <w:sz w:val="20"/>
        </w:rPr>
        <w:t>UCA RECOMMENDATION</w:t>
      </w:r>
      <w:r>
        <w:br/>
      </w:r>
      <w:r>
        <w:rPr>
          <w:color w:val="50565b"/>
          <w:sz w:val="20"/>
        </w:rPr>
        <w:t>Start with CIS Controls v8 IG1 for immediate compliance, then progressively implement additional controls. This approach provides quick wins while building toward comprehensive security posture.</w:t>
      </w:r>
    </w:p>
    <w:p>
      <w:pPr>
        <w:pStyle w:val="Heading1"/>
      </w:pPr>
      <w:bookmarkStart w:name="_Toc003" w:id="003"/>
      <w:r>
        <w:t>2. Annual Risk Assessments</w:t>
      </w:r>
      <w:bookmarkEnd w:id="003"/>
    </w:p>
    <w:p>
      <w:r>
        <w:t>HB 44 mandates annual cybersecurity risk assessments with proper documentation. Risk assessments identify threats, vulnerabilities, and potential impacts to your organization’s information systems and data.</w:t>
      </w:r>
    </w:p>
    <w:p>
      <w:pPr>
        <w:pStyle w:val="Heading2"/>
      </w:pPr>
      <w:r>
        <w:t>Risk Assessment Components</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2500"/>
        <w:gridCol w:w="7500"/>
      </w:tblGrid>
      <w:tr>
        <w:trPr>
          <w:tblHeader/>
          <w:trHeight w:val="400" w:hRule="atLeast"/>
        </w:trPr>
        <w:tc>
          <w:tcPr>
            <w:tcW w:w="0" w:type="auto"/>
            <w:shd w:val="clear" w:fill="002855"/>
            <w:vAlign w:val="center"/>
          </w:tcPr>
          <w:p>
            <w:pPr>
              <w:spacing w:before="0" w:after="0"/>
              <w:jc w:val="left"/>
            </w:pPr>
            <w:r>
              <w:rPr>
                <w:b/>
                <w:color w:val="ffffff"/>
                <w:sz w:val="20"/>
              </w:rPr>
              <w:t>Component</w:t>
            </w:r>
          </w:p>
        </w:tc>
        <w:tc>
          <w:tcPr>
            <w:tcW w:w="0" w:type="auto"/>
            <w:shd w:val="clear" w:fill="002855"/>
            <w:vAlign w:val="center"/>
          </w:tcPr>
          <w:p>
            <w:pPr>
              <w:spacing w:before="0" w:after="0"/>
              <w:jc w:val="left"/>
            </w:pPr>
            <w:r>
              <w:rPr>
                <w:b/>
                <w:color w:val="ffffff"/>
                <w:sz w:val="20"/>
              </w:rPr>
              <w:t>Description</w:t>
            </w:r>
          </w:p>
        </w:tc>
      </w:tr>
      <w:tr>
        <w:trPr>
          <w:trHeight w:val="360" w:hRule="atLeast"/>
        </w:trPr>
        <w:tc>
          <w:tcPr>
            <w:tcW w:w="0" w:type="auto"/>
            <w:vAlign w:val="center"/>
          </w:tcPr>
          <w:p>
            <w:pPr>
              <w:spacing w:before="0" w:after="0"/>
              <w:jc w:val="left"/>
            </w:pPr>
            <w:r>
              <w:rPr>
                <w:color w:val="50565b"/>
                <w:sz w:val="20"/>
              </w:rPr>
              <w:t>Asset Inventory</w:t>
            </w:r>
          </w:p>
        </w:tc>
        <w:tc>
          <w:tcPr>
            <w:tcW w:w="0" w:type="auto"/>
            <w:vAlign w:val="center"/>
          </w:tcPr>
          <w:p>
            <w:pPr>
              <w:spacing w:before="0" w:after="0"/>
              <w:jc w:val="left"/>
            </w:pPr>
            <w:r>
              <w:rPr>
                <w:color w:val="50565b"/>
                <w:sz w:val="20"/>
              </w:rPr>
              <w:t>Complete catalog of hardware, software, and data assets</w:t>
            </w:r>
          </w:p>
        </w:tc>
      </w:tr>
      <w:tr>
        <w:trPr>
          <w:trHeight w:val="360" w:hRule="atLeast"/>
        </w:trPr>
        <w:tc>
          <w:tcPr>
            <w:tcW w:w="0" w:type="auto"/>
            <w:vAlign w:val="center"/>
          </w:tcPr>
          <w:p>
            <w:pPr>
              <w:spacing w:before="0" w:after="0"/>
              <w:jc w:val="left"/>
            </w:pPr>
            <w:r>
              <w:rPr>
                <w:color w:val="50565b"/>
                <w:sz w:val="20"/>
              </w:rPr>
              <w:t>Threat Assessment</w:t>
            </w:r>
          </w:p>
        </w:tc>
        <w:tc>
          <w:tcPr>
            <w:tcW w:w="0" w:type="auto"/>
            <w:vAlign w:val="center"/>
          </w:tcPr>
          <w:p>
            <w:pPr>
              <w:spacing w:before="0" w:after="0"/>
              <w:jc w:val="left"/>
            </w:pPr>
            <w:r>
              <w:rPr>
                <w:color w:val="50565b"/>
                <w:sz w:val="20"/>
              </w:rPr>
              <w:t>Identification of potential threats and attack vectors</w:t>
            </w:r>
          </w:p>
        </w:tc>
      </w:tr>
      <w:tr>
        <w:trPr>
          <w:trHeight w:val="360" w:hRule="atLeast"/>
        </w:trPr>
        <w:tc>
          <w:tcPr>
            <w:tcW w:w="0" w:type="auto"/>
            <w:vAlign w:val="center"/>
          </w:tcPr>
          <w:p>
            <w:pPr>
              <w:spacing w:before="0" w:after="0"/>
              <w:jc w:val="left"/>
            </w:pPr>
            <w:r>
              <w:rPr>
                <w:color w:val="50565b"/>
                <w:sz w:val="20"/>
              </w:rPr>
              <w:t>Vulnerability Analysis</w:t>
            </w:r>
          </w:p>
        </w:tc>
        <w:tc>
          <w:tcPr>
            <w:tcW w:w="0" w:type="auto"/>
            <w:vAlign w:val="center"/>
          </w:tcPr>
          <w:p>
            <w:pPr>
              <w:spacing w:before="0" w:after="0"/>
              <w:jc w:val="left"/>
            </w:pPr>
            <w:r>
              <w:rPr>
                <w:color w:val="50565b"/>
                <w:sz w:val="20"/>
              </w:rPr>
              <w:t>Technical and procedural weaknesses that could be exploited</w:t>
            </w:r>
          </w:p>
        </w:tc>
      </w:tr>
      <w:tr>
        <w:trPr>
          <w:trHeight w:val="360" w:hRule="atLeast"/>
        </w:trPr>
        <w:tc>
          <w:tcPr>
            <w:tcW w:w="0" w:type="auto"/>
            <w:vAlign w:val="center"/>
          </w:tcPr>
          <w:p>
            <w:pPr>
              <w:spacing w:before="0" w:after="0"/>
              <w:jc w:val="left"/>
            </w:pPr>
            <w:r>
              <w:rPr>
                <w:color w:val="50565b"/>
                <w:sz w:val="20"/>
              </w:rPr>
              <w:t>Impact Analysis</w:t>
            </w:r>
          </w:p>
        </w:tc>
        <w:tc>
          <w:tcPr>
            <w:tcW w:w="0" w:type="auto"/>
            <w:vAlign w:val="center"/>
          </w:tcPr>
          <w:p>
            <w:pPr>
              <w:spacing w:before="0" w:after="0"/>
              <w:jc w:val="left"/>
            </w:pPr>
            <w:r>
              <w:rPr>
                <w:color w:val="50565b"/>
                <w:sz w:val="20"/>
              </w:rPr>
              <w:t>Potential consequences of successful attacks</w:t>
            </w:r>
          </w:p>
        </w:tc>
      </w:tr>
      <w:tr>
        <w:trPr>
          <w:trHeight w:val="360" w:hRule="atLeast"/>
        </w:trPr>
        <w:tc>
          <w:tcPr>
            <w:tcW w:w="0" w:type="auto"/>
            <w:vAlign w:val="center"/>
          </w:tcPr>
          <w:p>
            <w:pPr>
              <w:spacing w:before="0" w:after="0"/>
              <w:jc w:val="left"/>
            </w:pPr>
            <w:r>
              <w:rPr>
                <w:color w:val="50565b"/>
                <w:sz w:val="20"/>
              </w:rPr>
              <w:t>Risk Register</w:t>
            </w:r>
          </w:p>
        </w:tc>
        <w:tc>
          <w:tcPr>
            <w:tcW w:w="0" w:type="auto"/>
            <w:vAlign w:val="center"/>
          </w:tcPr>
          <w:p>
            <w:pPr>
              <w:spacing w:before="0" w:after="0"/>
              <w:jc w:val="left"/>
            </w:pPr>
            <w:r>
              <w:rPr>
                <w:color w:val="50565b"/>
                <w:sz w:val="20"/>
              </w:rPr>
              <w:t>Documented risks with likelihood, impact, and mitigation plans</w:t>
            </w:r>
          </w:p>
        </w:tc>
      </w:tr>
    </w:tbl>
    <w:p>
      <w:pPr>
        <w:pStyle w:val="Heading2"/>
      </w:pPr>
      <w:r>
        <w:t>Assessment Methodology</w:t>
      </w:r>
    </w:p>
    <w:p>
      <w:r>
        <w:rPr>
          <w:b/>
        </w:rPr>
        <w:t>Step 1: Asset Inventory</w:t>
      </w:r>
      <w:r>
        <w:br/>
        <w:t>Document all hardware, software, data assets, and their criticality to operations. Include student information systems, financial systems, and network infrastructure.</w:t>
      </w:r>
    </w:p>
    <w:p>
      <w:r>
        <w:rPr>
          <w:b/>
        </w:rPr>
        <w:t>Step 2: Threat Identification</w:t>
      </w:r>
      <w:r>
        <w:br/>
        <w:t>Identify potential threats including malware, phishing, insider threats, and natural disasters. Reference CISA's Known Exploited Vulnerabilities catalog.</w:t>
      </w:r>
    </w:p>
    <w:p>
      <w:r>
        <w:rPr>
          <w:b/>
        </w:rPr>
        <w:t>Step 3: Vulnerability Assessment</w:t>
      </w:r>
      <w:r>
        <w:br/>
        <w:t>Conduct technical vulnerability scans and review configuration weaknesses. Document findings with severity ratings.</w:t>
      </w:r>
    </w:p>
    <w:p>
      <w:r>
        <w:rPr>
          <w:b/>
        </w:rPr>
        <w:t>Step 4: Risk Analysis</w:t>
      </w:r>
      <w:r>
        <w:br/>
        <w:t>Calculate risk levels using likelihood x impact formula. Prioritize risks based on organizational impact.</w:t>
      </w:r>
    </w:p>
    <w:p>
      <w:r>
        <w:rPr>
          <w:b/>
        </w:rPr>
        <w:t>Step 5: Risk Treatment</w:t>
      </w:r>
      <w:r>
        <w:br/>
        <w:t>Develop mitigation strategies: accept, transfer, mitigate, or avoid each identified risk. Document decisions and rationale.</w:t>
      </w:r>
    </w:p>
    <w:p>
      <w:pPr>
        <w:pBdr>
          <w:left w:val="single" w:color="f05023" w:sz="24"/>
        </w:pBdr>
        <w:shd w:val="clear" w:fill="fff0eb"/>
        <w:spacing w:before="200" w:after="200"/>
        <w:ind w:left="200" w:right="200"/>
      </w:pPr>
      <w:r>
        <w:rPr>
          <w:b/>
          <w:color w:val="f05023"/>
          <w:sz w:val="20"/>
        </w:rPr>
        <w:t>DOCUMENTATION REQUIREMENT</w:t>
      </w:r>
      <w:r>
        <w:br/>
      </w:r>
      <w:r>
        <w:rPr>
          <w:color w:val="50565b"/>
          <w:sz w:val="20"/>
        </w:rPr>
        <w:t>Maintain risk assessment reports for a minimum of three years. Include executive summary, detailed findings, risk register, and remediation plans with timelines.</w:t>
      </w:r>
    </w:p>
    <w:p>
      <w:pPr>
        <w:pStyle w:val="Heading1"/>
      </w:pPr>
      <w:bookmarkStart w:name="_Toc004" w:id="004"/>
      <w:r>
        <w:t>3. Incident Response Plans</w:t>
      </w:r>
      <w:bookmarkEnd w:id="004"/>
    </w:p>
    <w:p>
      <w:r>
        <w:t>A comprehensive incident response plan is essential for minimizing damage and recovery time when cybersecurity incidents occur. HB 44 requires written incident response procedures and breach notification protocols.</w:t>
      </w:r>
    </w:p>
    <w:p>
      <w:pPr>
        <w:pStyle w:val="Heading2"/>
      </w:pPr>
      <w:r>
        <w:t>Required Plan Components</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2500"/>
        <w:gridCol w:w="7500"/>
      </w:tblGrid>
      <w:tr>
        <w:trPr>
          <w:tblHeader/>
          <w:trHeight w:val="400" w:hRule="atLeast"/>
        </w:trPr>
        <w:tc>
          <w:tcPr>
            <w:tcW w:w="0" w:type="auto"/>
            <w:shd w:val="clear" w:fill="002855"/>
            <w:vAlign w:val="center"/>
          </w:tcPr>
          <w:p>
            <w:pPr>
              <w:spacing w:before="0" w:after="0"/>
              <w:jc w:val="left"/>
            </w:pPr>
            <w:r>
              <w:rPr>
                <w:b/>
                <w:color w:val="ffffff"/>
                <w:sz w:val="20"/>
              </w:rPr>
              <w:t>Component</w:t>
            </w:r>
          </w:p>
        </w:tc>
        <w:tc>
          <w:tcPr>
            <w:tcW w:w="0" w:type="auto"/>
            <w:shd w:val="clear" w:fill="002855"/>
            <w:vAlign w:val="center"/>
          </w:tcPr>
          <w:p>
            <w:pPr>
              <w:spacing w:before="0" w:after="0"/>
              <w:jc w:val="left"/>
            </w:pPr>
            <w:r>
              <w:rPr>
                <w:b/>
                <w:color w:val="ffffff"/>
                <w:sz w:val="20"/>
              </w:rPr>
              <w:t>Required Content</w:t>
            </w:r>
          </w:p>
        </w:tc>
      </w:tr>
      <w:tr>
        <w:trPr>
          <w:trHeight w:val="360" w:hRule="atLeast"/>
        </w:trPr>
        <w:tc>
          <w:tcPr>
            <w:tcW w:w="0" w:type="auto"/>
            <w:vAlign w:val="center"/>
          </w:tcPr>
          <w:p>
            <w:pPr>
              <w:spacing w:before="0" w:after="0"/>
              <w:jc w:val="left"/>
            </w:pPr>
            <w:r>
              <w:rPr>
                <w:color w:val="50565b"/>
                <w:sz w:val="20"/>
              </w:rPr>
              <w:t>Roles &amp; Responsibilities</w:t>
            </w:r>
          </w:p>
        </w:tc>
        <w:tc>
          <w:tcPr>
            <w:tcW w:w="0" w:type="auto"/>
            <w:vAlign w:val="center"/>
          </w:tcPr>
          <w:p>
            <w:pPr>
              <w:spacing w:before="0" w:after="0"/>
              <w:jc w:val="left"/>
            </w:pPr>
            <w:r>
              <w:rPr>
                <w:color w:val="50565b"/>
                <w:sz w:val="20"/>
              </w:rPr>
              <w:t>Incident response team members and contact information</w:t>
            </w:r>
          </w:p>
        </w:tc>
      </w:tr>
      <w:tr>
        <w:trPr>
          <w:trHeight w:val="360" w:hRule="atLeast"/>
        </w:trPr>
        <w:tc>
          <w:tcPr>
            <w:tcW w:w="0" w:type="auto"/>
            <w:vAlign w:val="center"/>
          </w:tcPr>
          <w:p>
            <w:pPr>
              <w:spacing w:before="0" w:after="0"/>
              <w:jc w:val="left"/>
            </w:pPr>
            <w:r>
              <w:rPr>
                <w:color w:val="50565b"/>
                <w:sz w:val="20"/>
              </w:rPr>
              <w:t>Classification Criteria</w:t>
            </w:r>
          </w:p>
        </w:tc>
        <w:tc>
          <w:tcPr>
            <w:tcW w:w="0" w:type="auto"/>
            <w:vAlign w:val="center"/>
          </w:tcPr>
          <w:p>
            <w:pPr>
              <w:spacing w:before="0" w:after="0"/>
              <w:jc w:val="left"/>
            </w:pPr>
            <w:r>
              <w:rPr>
                <w:color w:val="50565b"/>
                <w:sz w:val="20"/>
              </w:rPr>
              <w:t>Definitions for incident severity levels</w:t>
            </w:r>
          </w:p>
        </w:tc>
      </w:tr>
      <w:tr>
        <w:trPr>
          <w:trHeight w:val="360" w:hRule="atLeast"/>
        </w:trPr>
        <w:tc>
          <w:tcPr>
            <w:tcW w:w="0" w:type="auto"/>
            <w:vAlign w:val="center"/>
          </w:tcPr>
          <w:p>
            <w:pPr>
              <w:spacing w:before="0" w:after="0"/>
              <w:jc w:val="left"/>
            </w:pPr>
            <w:r>
              <w:rPr>
                <w:color w:val="50565b"/>
                <w:sz w:val="20"/>
              </w:rPr>
              <w:t>Response Procedures</w:t>
            </w:r>
          </w:p>
        </w:tc>
        <w:tc>
          <w:tcPr>
            <w:tcW w:w="0" w:type="auto"/>
            <w:vAlign w:val="center"/>
          </w:tcPr>
          <w:p>
            <w:pPr>
              <w:spacing w:before="0" w:after="0"/>
              <w:jc w:val="left"/>
            </w:pPr>
            <w:r>
              <w:rPr>
                <w:color w:val="50565b"/>
                <w:sz w:val="20"/>
              </w:rPr>
              <w:t>Step-by-step actions for each incident type</w:t>
            </w:r>
          </w:p>
        </w:tc>
      </w:tr>
      <w:tr>
        <w:trPr>
          <w:trHeight w:val="360" w:hRule="atLeast"/>
        </w:trPr>
        <w:tc>
          <w:tcPr>
            <w:tcW w:w="0" w:type="auto"/>
            <w:vAlign w:val="center"/>
          </w:tcPr>
          <w:p>
            <w:pPr>
              <w:spacing w:before="0" w:after="0"/>
              <w:jc w:val="left"/>
            </w:pPr>
            <w:r>
              <w:rPr>
                <w:color w:val="50565b"/>
                <w:sz w:val="20"/>
              </w:rPr>
              <w:t>Communication Plan</w:t>
            </w:r>
          </w:p>
        </w:tc>
        <w:tc>
          <w:tcPr>
            <w:tcW w:w="0" w:type="auto"/>
            <w:vAlign w:val="center"/>
          </w:tcPr>
          <w:p>
            <w:pPr>
              <w:spacing w:before="0" w:after="0"/>
              <w:jc w:val="left"/>
            </w:pPr>
            <w:r>
              <w:rPr>
                <w:color w:val="50565b"/>
                <w:sz w:val="20"/>
              </w:rPr>
              <w:t>Internal and external notification procedures</w:t>
            </w:r>
          </w:p>
        </w:tc>
      </w:tr>
      <w:tr>
        <w:trPr>
          <w:trHeight w:val="360" w:hRule="atLeast"/>
        </w:trPr>
        <w:tc>
          <w:tcPr>
            <w:tcW w:w="0" w:type="auto"/>
            <w:vAlign w:val="center"/>
          </w:tcPr>
          <w:p>
            <w:pPr>
              <w:spacing w:before="0" w:after="0"/>
              <w:jc w:val="left"/>
            </w:pPr>
            <w:r>
              <w:rPr>
                <w:color w:val="50565b"/>
                <w:sz w:val="20"/>
              </w:rPr>
              <w:t>Breach Notification</w:t>
            </w:r>
          </w:p>
        </w:tc>
        <w:tc>
          <w:tcPr>
            <w:tcW w:w="0" w:type="auto"/>
            <w:vAlign w:val="center"/>
          </w:tcPr>
          <w:p>
            <w:pPr>
              <w:spacing w:before="0" w:after="0"/>
              <w:jc w:val="left"/>
            </w:pPr>
            <w:r>
              <w:rPr>
                <w:color w:val="50565b"/>
                <w:sz w:val="20"/>
              </w:rPr>
              <w:t>Timelines and procedures for USBE notification</w:t>
            </w:r>
          </w:p>
        </w:tc>
      </w:tr>
      <w:tr>
        <w:trPr>
          <w:trHeight w:val="360" w:hRule="atLeast"/>
        </w:trPr>
        <w:tc>
          <w:tcPr>
            <w:tcW w:w="0" w:type="auto"/>
            <w:vAlign w:val="center"/>
          </w:tcPr>
          <w:p>
            <w:pPr>
              <w:spacing w:before="0" w:after="0"/>
              <w:jc w:val="left"/>
            </w:pPr>
            <w:r>
              <w:rPr>
                <w:color w:val="50565b"/>
                <w:sz w:val="20"/>
              </w:rPr>
              <w:t>Recovery Procedures</w:t>
            </w:r>
          </w:p>
        </w:tc>
        <w:tc>
          <w:tcPr>
            <w:tcW w:w="0" w:type="auto"/>
            <w:vAlign w:val="center"/>
          </w:tcPr>
          <w:p>
            <w:pPr>
              <w:spacing w:before="0" w:after="0"/>
              <w:jc w:val="left"/>
            </w:pPr>
            <w:r>
              <w:rPr>
                <w:color w:val="50565b"/>
                <w:sz w:val="20"/>
              </w:rPr>
              <w:t>Steps to restore normal operations</w:t>
            </w:r>
          </w:p>
        </w:tc>
      </w:tr>
    </w:tbl>
    <w:p>
      <w:pPr>
        <w:pStyle w:val="Heading2"/>
      </w:pPr>
      <w:r>
        <w:t>Incident Response Lifecycle</w:t>
      </w:r>
    </w:p>
    <w:p>
      <w:r>
        <w:t>Follow the NIST SP 800-61 Computer Security Incident Handling Guide lifecycle:</w:t>
      </w:r>
    </w:p>
    <w:p>
      <w:pPr>
        <w:numPr>
          <w:ilvl w:val="0"/>
          <w:numId w:val="1"/>
        </w:numPr>
        <w:spacing w:after="80"/>
      </w:pPr>
      <w:r>
        <w:rPr>
          <w:color w:val="7caf2e"/>
        </w:rPr>
        <w:t xml:space="preserve">✓ </w:t>
      </w:r>
      <w:r>
        <w:t>Preparation: Establish policies, procedures, and communication plans before incidents occur</w:t>
      </w:r>
    </w:p>
    <w:p>
      <w:pPr>
        <w:numPr>
          <w:ilvl w:val="0"/>
          <w:numId w:val="1"/>
        </w:numPr>
        <w:spacing w:after="80"/>
      </w:pPr>
      <w:r>
        <w:rPr>
          <w:color w:val="7caf2e"/>
        </w:rPr>
        <w:t xml:space="preserve">✓ </w:t>
      </w:r>
      <w:r>
        <w:t>Detection &amp; Analysis: Identify and assess the scope and impact of security incidents</w:t>
      </w:r>
    </w:p>
    <w:p>
      <w:pPr>
        <w:numPr>
          <w:ilvl w:val="0"/>
          <w:numId w:val="1"/>
        </w:numPr>
        <w:spacing w:after="80"/>
      </w:pPr>
      <w:r>
        <w:rPr>
          <w:color w:val="7caf2e"/>
        </w:rPr>
        <w:t xml:space="preserve">✓ </w:t>
      </w:r>
      <w:r>
        <w:t>Containment: Limit damage and prevent further unauthorized access</w:t>
      </w:r>
    </w:p>
    <w:p>
      <w:pPr>
        <w:numPr>
          <w:ilvl w:val="0"/>
          <w:numId w:val="1"/>
        </w:numPr>
        <w:spacing w:after="80"/>
      </w:pPr>
      <w:r>
        <w:rPr>
          <w:color w:val="7caf2e"/>
        </w:rPr>
        <w:t xml:space="preserve">✓ </w:t>
      </w:r>
      <w:r>
        <w:t>Eradication: Remove threats and restore systems to normal operation</w:t>
      </w:r>
    </w:p>
    <w:p>
      <w:pPr>
        <w:numPr>
          <w:ilvl w:val="0"/>
          <w:numId w:val="1"/>
        </w:numPr>
        <w:spacing w:after="80"/>
      </w:pPr>
      <w:r>
        <w:rPr>
          <w:color w:val="7caf2e"/>
        </w:rPr>
        <w:t xml:space="preserve">✓ </w:t>
      </w:r>
      <w:r>
        <w:t>Recovery: Return to normal operations and verify system integrity</w:t>
      </w:r>
    </w:p>
    <w:p>
      <w:pPr>
        <w:numPr>
          <w:ilvl w:val="0"/>
          <w:numId w:val="1"/>
        </w:numPr>
        <w:spacing w:after="80"/>
      </w:pPr>
      <w:r>
        <w:rPr>
          <w:color w:val="7caf2e"/>
        </w:rPr>
        <w:t xml:space="preserve">✓ </w:t>
      </w:r>
      <w:r>
        <w:t>Post-Incident Activity: Document lessons learned and update procedures</w:t>
      </w:r>
    </w:p>
    <w:p>
      <w:pPr>
        <w:pBdr>
          <w:left w:val="single" w:color="002855" w:sz="24"/>
        </w:pBdr>
        <w:shd w:val="clear" w:fill="e8f0f8"/>
        <w:spacing w:before="200" w:after="200"/>
        <w:ind w:left="200" w:right="200"/>
      </w:pPr>
      <w:r>
        <w:rPr>
          <w:b/>
          <w:color w:val="002855"/>
          <w:sz w:val="20"/>
        </w:rPr>
        <w:t>CRITICAL CONTACTS</w:t>
      </w:r>
      <w:r>
        <w:br/>
      </w:r>
      <w:r>
        <w:rPr>
          <w:color w:val="50565b"/>
          <w:sz w:val="20"/>
        </w:rPr>
        <w:t>USBE Security Office: security@schools.utah.gov</w:t>
      </w:r>
      <w:r>
        <w:br/>
      </w:r>
      <w:r>
        <w:rPr>
          <w:color w:val="50565b"/>
          <w:sz w:val="20"/>
        </w:rPr>
        <w:t>Utah Cyber Center: incident@utahcybercenter.org</w:t>
      </w:r>
      <w:r>
        <w:br/>
      </w:r>
      <w:r>
        <w:rPr>
          <w:color w:val="50565b"/>
          <w:sz w:val="20"/>
        </w:rPr>
        <w:t>MS-ISAC: soc@msisac.org (24/7)</w:t>
      </w:r>
    </w:p>
    <w:p>
      <w:pPr>
        <w:pStyle w:val="Heading1"/>
      </w:pPr>
      <w:bookmarkStart w:name="_Toc005" w:id="005"/>
      <w:r>
        <w:t>4. Data Privacy &amp; Student Records</w:t>
      </w:r>
      <w:bookmarkEnd w:id="005"/>
    </w:p>
    <w:p>
      <w:r>
        <w:t>Protecting personally identifiable information (PII) of students is a cornerstone of HB 44. LEAs must comply with both federal FERPA requirements and Utah Code 53E-9 (Student Data Protection Act).</w:t>
      </w:r>
    </w:p>
    <w:p>
      <w:pPr>
        <w:pStyle w:val="Heading2"/>
      </w:pPr>
      <w:r>
        <w:t>Protected Data Categories</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3000"/>
        <w:gridCol w:w="7000"/>
      </w:tblGrid>
      <w:tr>
        <w:trPr>
          <w:tblHeader/>
          <w:trHeight w:val="400" w:hRule="atLeast"/>
        </w:trPr>
        <w:tc>
          <w:tcPr>
            <w:tcW w:w="0" w:type="auto"/>
            <w:shd w:val="clear" w:fill="002855"/>
            <w:vAlign w:val="center"/>
          </w:tcPr>
          <w:p>
            <w:pPr>
              <w:spacing w:before="0" w:after="0"/>
              <w:jc w:val="left"/>
            </w:pPr>
            <w:r>
              <w:rPr>
                <w:b/>
                <w:color w:val="ffffff"/>
                <w:sz w:val="20"/>
              </w:rPr>
              <w:t>Data Category</w:t>
            </w:r>
          </w:p>
        </w:tc>
        <w:tc>
          <w:tcPr>
            <w:tcW w:w="0" w:type="auto"/>
            <w:shd w:val="clear" w:fill="002855"/>
            <w:vAlign w:val="center"/>
          </w:tcPr>
          <w:p>
            <w:pPr>
              <w:spacing w:before="0" w:after="0"/>
              <w:jc w:val="left"/>
            </w:pPr>
            <w:r>
              <w:rPr>
                <w:b/>
                <w:color w:val="ffffff"/>
                <w:sz w:val="20"/>
              </w:rPr>
              <w:t>Examples</w:t>
            </w:r>
          </w:p>
        </w:tc>
      </w:tr>
      <w:tr>
        <w:trPr>
          <w:trHeight w:val="360" w:hRule="atLeast"/>
        </w:trPr>
        <w:tc>
          <w:tcPr>
            <w:tcW w:w="0" w:type="auto"/>
            <w:vAlign w:val="center"/>
          </w:tcPr>
          <w:p>
            <w:pPr>
              <w:spacing w:before="0" w:after="0"/>
              <w:jc w:val="left"/>
            </w:pPr>
            <w:r>
              <w:rPr>
                <w:color w:val="50565b"/>
                <w:sz w:val="20"/>
              </w:rPr>
              <w:t>Student PII</w:t>
            </w:r>
          </w:p>
        </w:tc>
        <w:tc>
          <w:tcPr>
            <w:tcW w:w="0" w:type="auto"/>
            <w:vAlign w:val="center"/>
          </w:tcPr>
          <w:p>
            <w:pPr>
              <w:spacing w:before="0" w:after="0"/>
              <w:jc w:val="left"/>
            </w:pPr>
            <w:r>
              <w:rPr>
                <w:color w:val="50565b"/>
                <w:sz w:val="20"/>
              </w:rPr>
              <w:t>Name, address, date of birth, SSN, student ID</w:t>
            </w:r>
          </w:p>
        </w:tc>
      </w:tr>
      <w:tr>
        <w:trPr>
          <w:trHeight w:val="360" w:hRule="atLeast"/>
        </w:trPr>
        <w:tc>
          <w:tcPr>
            <w:tcW w:w="0" w:type="auto"/>
            <w:vAlign w:val="center"/>
          </w:tcPr>
          <w:p>
            <w:pPr>
              <w:spacing w:before="0" w:after="0"/>
              <w:jc w:val="left"/>
            </w:pPr>
            <w:r>
              <w:rPr>
                <w:color w:val="50565b"/>
                <w:sz w:val="20"/>
              </w:rPr>
              <w:t>Education Records</w:t>
            </w:r>
          </w:p>
        </w:tc>
        <w:tc>
          <w:tcPr>
            <w:tcW w:w="0" w:type="auto"/>
            <w:vAlign w:val="center"/>
          </w:tcPr>
          <w:p>
            <w:pPr>
              <w:spacing w:before="0" w:after="0"/>
              <w:jc w:val="left"/>
            </w:pPr>
            <w:r>
              <w:rPr>
                <w:color w:val="50565b"/>
                <w:sz w:val="20"/>
              </w:rPr>
              <w:t>Grades, transcripts, disciplinary records, IEPs</w:t>
            </w:r>
          </w:p>
        </w:tc>
      </w:tr>
      <w:tr>
        <w:trPr>
          <w:trHeight w:val="360" w:hRule="atLeast"/>
        </w:trPr>
        <w:tc>
          <w:tcPr>
            <w:tcW w:w="0" w:type="auto"/>
            <w:vAlign w:val="center"/>
          </w:tcPr>
          <w:p>
            <w:pPr>
              <w:spacing w:before="0" w:after="0"/>
              <w:jc w:val="left"/>
            </w:pPr>
            <w:r>
              <w:rPr>
                <w:color w:val="50565b"/>
                <w:sz w:val="20"/>
              </w:rPr>
              <w:t>Health Information</w:t>
            </w:r>
          </w:p>
        </w:tc>
        <w:tc>
          <w:tcPr>
            <w:tcW w:w="0" w:type="auto"/>
            <w:vAlign w:val="center"/>
          </w:tcPr>
          <w:p>
            <w:pPr>
              <w:spacing w:before="0" w:after="0"/>
              <w:jc w:val="left"/>
            </w:pPr>
            <w:r>
              <w:rPr>
                <w:color w:val="50565b"/>
                <w:sz w:val="20"/>
              </w:rPr>
              <w:t>Immunization records, medical conditions, nurse visits</w:t>
            </w:r>
          </w:p>
        </w:tc>
      </w:tr>
      <w:tr>
        <w:trPr>
          <w:trHeight w:val="360" w:hRule="atLeast"/>
        </w:trPr>
        <w:tc>
          <w:tcPr>
            <w:tcW w:w="0" w:type="auto"/>
            <w:vAlign w:val="center"/>
          </w:tcPr>
          <w:p>
            <w:pPr>
              <w:spacing w:before="0" w:after="0"/>
              <w:jc w:val="left"/>
            </w:pPr>
            <w:r>
              <w:rPr>
                <w:color w:val="50565b"/>
                <w:sz w:val="20"/>
              </w:rPr>
              <w:t>Financial Data</w:t>
            </w:r>
          </w:p>
        </w:tc>
        <w:tc>
          <w:tcPr>
            <w:tcW w:w="0" w:type="auto"/>
            <w:vAlign w:val="center"/>
          </w:tcPr>
          <w:p>
            <w:pPr>
              <w:spacing w:before="0" w:after="0"/>
              <w:jc w:val="left"/>
            </w:pPr>
            <w:r>
              <w:rPr>
                <w:color w:val="50565b"/>
                <w:sz w:val="20"/>
              </w:rPr>
              <w:t>Free/reduced lunch status, payment information</w:t>
            </w:r>
          </w:p>
        </w:tc>
      </w:tr>
      <w:tr>
        <w:trPr>
          <w:trHeight w:val="360" w:hRule="atLeast"/>
        </w:trPr>
        <w:tc>
          <w:tcPr>
            <w:tcW w:w="0" w:type="auto"/>
            <w:vAlign w:val="center"/>
          </w:tcPr>
          <w:p>
            <w:pPr>
              <w:spacing w:before="0" w:after="0"/>
              <w:jc w:val="left"/>
            </w:pPr>
            <w:r>
              <w:rPr>
                <w:color w:val="50565b"/>
                <w:sz w:val="20"/>
              </w:rPr>
              <w:t>Staff Information</w:t>
            </w:r>
          </w:p>
        </w:tc>
        <w:tc>
          <w:tcPr>
            <w:tcW w:w="0" w:type="auto"/>
            <w:vAlign w:val="center"/>
          </w:tcPr>
          <w:p>
            <w:pPr>
              <w:spacing w:before="0" w:after="0"/>
              <w:jc w:val="left"/>
            </w:pPr>
            <w:r>
              <w:rPr>
                <w:color w:val="50565b"/>
                <w:sz w:val="20"/>
              </w:rPr>
              <w:t>Personnel records, payroll data, evaluations</w:t>
            </w:r>
          </w:p>
        </w:tc>
      </w:tr>
    </w:tbl>
    <w:p>
      <w:pPr>
        <w:pStyle w:val="Heading2"/>
      </w:pPr>
      <w:r>
        <w:t>FERPA Compliance Requirements</w:t>
      </w:r>
    </w:p>
    <w:p>
      <w:r>
        <w:t>The Family Educational Rights and Privacy Act (FERPA) grants parents and eligible students specific rights regarding education records:</w:t>
      </w:r>
    </w:p>
    <w:p>
      <w:pPr>
        <w:numPr>
          <w:ilvl w:val="0"/>
          <w:numId w:val="1"/>
        </w:numPr>
        <w:spacing w:after="80"/>
      </w:pPr>
      <w:r>
        <w:rPr>
          <w:color w:val="7caf2e"/>
        </w:rPr>
        <w:t xml:space="preserve">✓ </w:t>
      </w:r>
      <w:r>
        <w:t>Right to inspect and review education records within 45 days of request</w:t>
      </w:r>
    </w:p>
    <w:p>
      <w:pPr>
        <w:numPr>
          <w:ilvl w:val="0"/>
          <w:numId w:val="1"/>
        </w:numPr>
        <w:spacing w:after="80"/>
      </w:pPr>
      <w:r>
        <w:rPr>
          <w:color w:val="7caf2e"/>
        </w:rPr>
        <w:t xml:space="preserve">✓ </w:t>
      </w:r>
      <w:r>
        <w:t>Right to request amendment of records believed to be inaccurate</w:t>
      </w:r>
    </w:p>
    <w:p>
      <w:pPr>
        <w:numPr>
          <w:ilvl w:val="0"/>
          <w:numId w:val="1"/>
        </w:numPr>
        <w:spacing w:after="80"/>
      </w:pPr>
      <w:r>
        <w:rPr>
          <w:color w:val="7caf2e"/>
        </w:rPr>
        <w:t xml:space="preserve">✓ </w:t>
      </w:r>
      <w:r>
        <w:t>Right to consent to disclosures of personally identifiable information</w:t>
      </w:r>
    </w:p>
    <w:p>
      <w:pPr>
        <w:numPr>
          <w:ilvl w:val="0"/>
          <w:numId w:val="1"/>
        </w:numPr>
        <w:spacing w:after="80"/>
      </w:pPr>
      <w:r>
        <w:rPr>
          <w:color w:val="7caf2e"/>
        </w:rPr>
        <w:t xml:space="preserve">✓ </w:t>
      </w:r>
      <w:r>
        <w:t>Right to file complaints with the U.S. Department of Education</w:t>
      </w:r>
    </w:p>
    <w:p>
      <w:pPr>
        <w:pStyle w:val="Heading2"/>
      </w:pPr>
      <w:r>
        <w:t>Utah Code 53E-9 Requirements</w:t>
      </w:r>
    </w:p>
    <w:p>
      <w:r>
        <w:t>Utah's Student Data Protection Act establishes additional safeguards:</w:t>
      </w:r>
    </w:p>
    <w:p>
      <w:pPr>
        <w:numPr>
          <w:ilvl w:val="0"/>
          <w:numId w:val="1"/>
        </w:numPr>
        <w:spacing w:after="80"/>
      </w:pPr>
      <w:r>
        <w:rPr>
          <w:color w:val="7caf2e"/>
        </w:rPr>
        <w:t xml:space="preserve">✓ </w:t>
      </w:r>
      <w:r>
        <w:t>Data governance plan with designated data steward</w:t>
      </w:r>
    </w:p>
    <w:p>
      <w:pPr>
        <w:numPr>
          <w:ilvl w:val="0"/>
          <w:numId w:val="1"/>
        </w:numPr>
        <w:spacing w:after="80"/>
      </w:pPr>
      <w:r>
        <w:rPr>
          <w:color w:val="7caf2e"/>
        </w:rPr>
        <w:t xml:space="preserve">✓ </w:t>
      </w:r>
      <w:r>
        <w:t>Annual data security and privacy training for all employees</w:t>
      </w:r>
    </w:p>
    <w:p>
      <w:pPr>
        <w:numPr>
          <w:ilvl w:val="0"/>
          <w:numId w:val="1"/>
        </w:numPr>
        <w:spacing w:after="80"/>
      </w:pPr>
      <w:r>
        <w:rPr>
          <w:color w:val="7caf2e"/>
        </w:rPr>
        <w:t xml:space="preserve">✓ </w:t>
      </w:r>
      <w:r>
        <w:t>Contractual requirements for third-party data processors</w:t>
      </w:r>
    </w:p>
    <w:p>
      <w:pPr>
        <w:numPr>
          <w:ilvl w:val="0"/>
          <w:numId w:val="1"/>
        </w:numPr>
        <w:spacing w:after="80"/>
      </w:pPr>
      <w:r>
        <w:rPr>
          <w:color w:val="7caf2e"/>
        </w:rPr>
        <w:t xml:space="preserve">✓ </w:t>
      </w:r>
      <w:r>
        <w:t>Data retention and destruction policies</w:t>
      </w:r>
    </w:p>
    <w:p>
      <w:pPr>
        <w:numPr>
          <w:ilvl w:val="0"/>
          <w:numId w:val="1"/>
        </w:numPr>
        <w:spacing w:after="80"/>
      </w:pPr>
      <w:r>
        <w:rPr>
          <w:color w:val="7caf2e"/>
        </w:rPr>
        <w:t xml:space="preserve">✓ </w:t>
      </w:r>
      <w:r>
        <w:t>Prohibition on certain data collection (biometric, political affiliation, etc.)</w:t>
      </w:r>
    </w:p>
    <w:p>
      <w:pPr>
        <w:pStyle w:val="Heading1"/>
      </w:pPr>
      <w:bookmarkStart w:name="_Toc006" w:id="006"/>
      <w:r>
        <w:t>5. Security Awareness Training</w:t>
      </w:r>
      <w:bookmarkEnd w:id="006"/>
    </w:p>
    <w:p>
      <w:r>
        <w:t>HB 44 mandates annual cybersecurity training for all staff with access to education records. Effective training programs significantly reduce the risk of successful phishing and social engineering attacks.</w:t>
      </w:r>
    </w:p>
    <w:p>
      <w:pPr>
        <w:pStyle w:val="Heading2"/>
      </w:pPr>
      <w:r>
        <w:t>Required Training Topics</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3000"/>
        <w:gridCol w:w="4000"/>
        <w:gridCol w:w="3000"/>
      </w:tblGrid>
      <w:tr>
        <w:trPr>
          <w:tblHeader/>
          <w:trHeight w:val="400" w:hRule="atLeast"/>
        </w:trPr>
        <w:tc>
          <w:tcPr>
            <w:tcW w:w="0" w:type="auto"/>
            <w:shd w:val="clear" w:fill="002855"/>
            <w:vAlign w:val="center"/>
          </w:tcPr>
          <w:p>
            <w:pPr>
              <w:spacing w:before="0" w:after="0"/>
              <w:jc w:val="left"/>
            </w:pPr>
            <w:r>
              <w:rPr>
                <w:b/>
                <w:color w:val="ffffff"/>
                <w:sz w:val="20"/>
              </w:rPr>
              <w:t>Topic</w:t>
            </w:r>
          </w:p>
        </w:tc>
        <w:tc>
          <w:tcPr>
            <w:tcW w:w="0" w:type="auto"/>
            <w:shd w:val="clear" w:fill="002855"/>
            <w:vAlign w:val="center"/>
          </w:tcPr>
          <w:p>
            <w:pPr>
              <w:spacing w:before="0" w:after="0"/>
              <w:jc w:val="left"/>
            </w:pPr>
            <w:r>
              <w:rPr>
                <w:b/>
                <w:color w:val="ffffff"/>
                <w:sz w:val="20"/>
              </w:rPr>
              <w:t>Content</w:t>
            </w:r>
          </w:p>
        </w:tc>
        <w:tc>
          <w:tcPr>
            <w:tcW w:w="0" w:type="auto"/>
            <w:shd w:val="clear" w:fill="002855"/>
            <w:vAlign w:val="center"/>
          </w:tcPr>
          <w:p>
            <w:pPr>
              <w:spacing w:before="0" w:after="0"/>
              <w:jc w:val="left"/>
            </w:pPr>
            <w:r>
              <w:rPr>
                <w:b/>
                <w:color w:val="ffffff"/>
                <w:sz w:val="20"/>
              </w:rPr>
              <w:t>Audience</w:t>
            </w:r>
          </w:p>
        </w:tc>
      </w:tr>
      <w:tr>
        <w:trPr>
          <w:trHeight w:val="360" w:hRule="atLeast"/>
        </w:trPr>
        <w:tc>
          <w:tcPr>
            <w:tcW w:w="0" w:type="auto"/>
            <w:vAlign w:val="center"/>
          </w:tcPr>
          <w:p>
            <w:pPr>
              <w:spacing w:before="0" w:after="0"/>
              <w:jc w:val="left"/>
            </w:pPr>
            <w:r>
              <w:rPr>
                <w:color w:val="50565b"/>
                <w:sz w:val="20"/>
              </w:rPr>
              <w:t>Phishing Awareness</w:t>
            </w:r>
          </w:p>
        </w:tc>
        <w:tc>
          <w:tcPr>
            <w:tcW w:w="0" w:type="auto"/>
            <w:vAlign w:val="center"/>
          </w:tcPr>
          <w:p>
            <w:pPr>
              <w:spacing w:before="0" w:after="0"/>
              <w:jc w:val="left"/>
            </w:pPr>
            <w:r>
              <w:rPr>
                <w:color w:val="50565b"/>
                <w:sz w:val="20"/>
              </w:rPr>
              <w:t>Recognizing suspicious emails and links</w:t>
            </w:r>
          </w:p>
        </w:tc>
        <w:tc>
          <w:tcPr>
            <w:tcW w:w="0" w:type="auto"/>
            <w:vAlign w:val="center"/>
          </w:tcPr>
          <w:p>
            <w:pPr>
              <w:spacing w:before="0" w:after="0"/>
              <w:jc w:val="left"/>
            </w:pPr>
            <w:r>
              <w:rPr>
                <w:color w:val="50565b"/>
                <w:sz w:val="20"/>
              </w:rPr>
              <w:t>All Staff</w:t>
            </w:r>
          </w:p>
        </w:tc>
      </w:tr>
      <w:tr>
        <w:trPr>
          <w:trHeight w:val="360" w:hRule="atLeast"/>
        </w:trPr>
        <w:tc>
          <w:tcPr>
            <w:tcW w:w="0" w:type="auto"/>
            <w:vAlign w:val="center"/>
          </w:tcPr>
          <w:p>
            <w:pPr>
              <w:spacing w:before="0" w:after="0"/>
              <w:jc w:val="left"/>
            </w:pPr>
            <w:r>
              <w:rPr>
                <w:color w:val="50565b"/>
                <w:sz w:val="20"/>
              </w:rPr>
              <w:t>Password Security</w:t>
            </w:r>
          </w:p>
        </w:tc>
        <w:tc>
          <w:tcPr>
            <w:tcW w:w="0" w:type="auto"/>
            <w:vAlign w:val="center"/>
          </w:tcPr>
          <w:p>
            <w:pPr>
              <w:spacing w:before="0" w:after="0"/>
              <w:jc w:val="left"/>
            </w:pPr>
            <w:r>
              <w:rPr>
                <w:color w:val="50565b"/>
                <w:sz w:val="20"/>
              </w:rPr>
              <w:t>Strong passwords, MFA, password managers</w:t>
            </w:r>
          </w:p>
        </w:tc>
        <w:tc>
          <w:tcPr>
            <w:tcW w:w="0" w:type="auto"/>
            <w:vAlign w:val="center"/>
          </w:tcPr>
          <w:p>
            <w:pPr>
              <w:spacing w:before="0" w:after="0"/>
              <w:jc w:val="left"/>
            </w:pPr>
            <w:r>
              <w:rPr>
                <w:color w:val="50565b"/>
                <w:sz w:val="20"/>
              </w:rPr>
              <w:t>All Staff</w:t>
            </w:r>
          </w:p>
        </w:tc>
      </w:tr>
      <w:tr>
        <w:trPr>
          <w:trHeight w:val="360" w:hRule="atLeast"/>
        </w:trPr>
        <w:tc>
          <w:tcPr>
            <w:tcW w:w="0" w:type="auto"/>
            <w:vAlign w:val="center"/>
          </w:tcPr>
          <w:p>
            <w:pPr>
              <w:spacing w:before="0" w:after="0"/>
              <w:jc w:val="left"/>
            </w:pPr>
            <w:r>
              <w:rPr>
                <w:color w:val="50565b"/>
                <w:sz w:val="20"/>
              </w:rPr>
              <w:t>Data Handling</w:t>
            </w:r>
          </w:p>
        </w:tc>
        <w:tc>
          <w:tcPr>
            <w:tcW w:w="0" w:type="auto"/>
            <w:vAlign w:val="center"/>
          </w:tcPr>
          <w:p>
            <w:pPr>
              <w:spacing w:before="0" w:after="0"/>
              <w:jc w:val="left"/>
            </w:pPr>
            <w:r>
              <w:rPr>
                <w:color w:val="50565b"/>
                <w:sz w:val="20"/>
              </w:rPr>
              <w:t>FERPA requirements, data classification</w:t>
            </w:r>
          </w:p>
        </w:tc>
        <w:tc>
          <w:tcPr>
            <w:tcW w:w="0" w:type="auto"/>
            <w:vAlign w:val="center"/>
          </w:tcPr>
          <w:p>
            <w:pPr>
              <w:spacing w:before="0" w:after="0"/>
              <w:jc w:val="left"/>
            </w:pPr>
            <w:r>
              <w:rPr>
                <w:color w:val="50565b"/>
                <w:sz w:val="20"/>
              </w:rPr>
              <w:t>All Staff</w:t>
            </w:r>
          </w:p>
        </w:tc>
      </w:tr>
      <w:tr>
        <w:trPr>
          <w:trHeight w:val="360" w:hRule="atLeast"/>
        </w:trPr>
        <w:tc>
          <w:tcPr>
            <w:tcW w:w="0" w:type="auto"/>
            <w:vAlign w:val="center"/>
          </w:tcPr>
          <w:p>
            <w:pPr>
              <w:spacing w:before="0" w:after="0"/>
              <w:jc w:val="left"/>
            </w:pPr>
            <w:r>
              <w:rPr>
                <w:color w:val="50565b"/>
                <w:sz w:val="20"/>
              </w:rPr>
              <w:t>Physical Security</w:t>
            </w:r>
          </w:p>
        </w:tc>
        <w:tc>
          <w:tcPr>
            <w:tcW w:w="0" w:type="auto"/>
            <w:vAlign w:val="center"/>
          </w:tcPr>
          <w:p>
            <w:pPr>
              <w:spacing w:before="0" w:after="0"/>
              <w:jc w:val="left"/>
            </w:pPr>
            <w:r>
              <w:rPr>
                <w:color w:val="50565b"/>
                <w:sz w:val="20"/>
              </w:rPr>
              <w:t>Device security, clean desk policy</w:t>
            </w:r>
          </w:p>
        </w:tc>
        <w:tc>
          <w:tcPr>
            <w:tcW w:w="0" w:type="auto"/>
            <w:vAlign w:val="center"/>
          </w:tcPr>
          <w:p>
            <w:pPr>
              <w:spacing w:before="0" w:after="0"/>
              <w:jc w:val="left"/>
            </w:pPr>
            <w:r>
              <w:rPr>
                <w:color w:val="50565b"/>
                <w:sz w:val="20"/>
              </w:rPr>
              <w:t>All Staff</w:t>
            </w:r>
          </w:p>
        </w:tc>
      </w:tr>
      <w:tr>
        <w:trPr>
          <w:trHeight w:val="360" w:hRule="atLeast"/>
        </w:trPr>
        <w:tc>
          <w:tcPr>
            <w:tcW w:w="0" w:type="auto"/>
            <w:vAlign w:val="center"/>
          </w:tcPr>
          <w:p>
            <w:pPr>
              <w:spacing w:before="0" w:after="0"/>
              <w:jc w:val="left"/>
            </w:pPr>
            <w:r>
              <w:rPr>
                <w:color w:val="50565b"/>
                <w:sz w:val="20"/>
              </w:rPr>
              <w:t>Incident Reporting</w:t>
            </w:r>
          </w:p>
        </w:tc>
        <w:tc>
          <w:tcPr>
            <w:tcW w:w="0" w:type="auto"/>
            <w:vAlign w:val="center"/>
          </w:tcPr>
          <w:p>
            <w:pPr>
              <w:spacing w:before="0" w:after="0"/>
              <w:jc w:val="left"/>
            </w:pPr>
            <w:r>
              <w:rPr>
                <w:color w:val="50565b"/>
                <w:sz w:val="20"/>
              </w:rPr>
              <w:t>How to recognize and report incidents</w:t>
            </w:r>
          </w:p>
        </w:tc>
        <w:tc>
          <w:tcPr>
            <w:tcW w:w="0" w:type="auto"/>
            <w:vAlign w:val="center"/>
          </w:tcPr>
          <w:p>
            <w:pPr>
              <w:spacing w:before="0" w:after="0"/>
              <w:jc w:val="left"/>
            </w:pPr>
            <w:r>
              <w:rPr>
                <w:color w:val="50565b"/>
                <w:sz w:val="20"/>
              </w:rPr>
              <w:t>All Staff</w:t>
            </w:r>
          </w:p>
        </w:tc>
      </w:tr>
      <w:tr>
        <w:trPr>
          <w:trHeight w:val="360" w:hRule="atLeast"/>
        </w:trPr>
        <w:tc>
          <w:tcPr>
            <w:tcW w:w="0" w:type="auto"/>
            <w:vAlign w:val="center"/>
          </w:tcPr>
          <w:p>
            <w:pPr>
              <w:spacing w:before="0" w:after="0"/>
              <w:jc w:val="left"/>
            </w:pPr>
            <w:r>
              <w:rPr>
                <w:color w:val="50565b"/>
                <w:sz w:val="20"/>
              </w:rPr>
              <w:t>Social Engineering</w:t>
            </w:r>
          </w:p>
        </w:tc>
        <w:tc>
          <w:tcPr>
            <w:tcW w:w="0" w:type="auto"/>
            <w:vAlign w:val="center"/>
          </w:tcPr>
          <w:p>
            <w:pPr>
              <w:spacing w:before="0" w:after="0"/>
              <w:jc w:val="left"/>
            </w:pPr>
            <w:r>
              <w:rPr>
                <w:color w:val="50565b"/>
                <w:sz w:val="20"/>
              </w:rPr>
              <w:t>Recognizing manipulation tactics</w:t>
            </w:r>
          </w:p>
        </w:tc>
        <w:tc>
          <w:tcPr>
            <w:tcW w:w="0" w:type="auto"/>
            <w:vAlign w:val="center"/>
          </w:tcPr>
          <w:p>
            <w:pPr>
              <w:spacing w:before="0" w:after="0"/>
              <w:jc w:val="left"/>
            </w:pPr>
            <w:r>
              <w:rPr>
                <w:color w:val="50565b"/>
                <w:sz w:val="20"/>
              </w:rPr>
              <w:t>High-Risk Roles</w:t>
            </w:r>
          </w:p>
        </w:tc>
      </w:tr>
    </w:tbl>
    <w:p>
      <w:pPr>
        <w:pStyle w:val="Heading2"/>
      </w:pPr>
      <w:r>
        <w:t>Training Delivery Methods</w:t>
      </w:r>
    </w:p>
    <w:p>
      <w:r>
        <w:rPr>
          <w:b/>
        </w:rPr>
        <w:t>Online Training Modules</w:t>
      </w:r>
      <w:r>
        <w:br/>
        <w:t>Self-paced courses from providers like KnowBe4, Proofpoint, or SANS. Recommended for baseline awareness training with tracking and reporting capabilities.</w:t>
      </w:r>
    </w:p>
    <w:p>
      <w:r>
        <w:rPr>
          <w:b/>
        </w:rPr>
        <w:t>In-Person Workshops</w:t>
      </w:r>
      <w:r>
        <w:br/>
        <w:t>Interactive sessions for role-specific training. Ideal for IT staff, administrators, and faculty handling sensitive data.</w:t>
      </w:r>
    </w:p>
    <w:p>
      <w:r>
        <w:rPr>
          <w:b/>
        </w:rPr>
        <w:t>Simulated Phishing Exercises</w:t>
      </w:r>
      <w:r>
        <w:br/>
        <w:t>Regular phishing simulations to reinforce training and identify at-risk users. Document results for compliance reporting.</w:t>
      </w:r>
    </w:p>
    <w:p>
      <w:pPr>
        <w:pBdr>
          <w:left w:val="single" w:color="7caf2e" w:sz="24"/>
        </w:pBdr>
        <w:shd w:val="clear" w:fill="f0f7e6"/>
        <w:spacing w:before="200" w:after="200"/>
        <w:ind w:left="200" w:right="200"/>
      </w:pPr>
      <w:r>
        <w:rPr>
          <w:b/>
          <w:color w:val="7caf2e"/>
          <w:sz w:val="20"/>
        </w:rPr>
        <w:t>TRAINING BEST PRACTICES</w:t>
      </w:r>
      <w:r>
        <w:br/>
      </w:r>
      <w:r>
        <w:rPr>
          <w:color w:val="50565b"/>
          <w:sz w:val="20"/>
        </w:rPr>
        <w:t>Conduct training within 30 days of hire for new employees</w:t>
      </w:r>
      <w:r>
        <w:br/>
      </w:r>
      <w:r>
        <w:rPr>
          <w:color w:val="50565b"/>
          <w:sz w:val="20"/>
        </w:rPr>
        <w:t>Provide refresher training after any security incident</w:t>
      </w:r>
      <w:r>
        <w:br/>
      </w:r>
      <w:r>
        <w:rPr>
          <w:color w:val="50565b"/>
          <w:sz w:val="20"/>
        </w:rPr>
        <w:t>Track completion rates and maintain training records for 3 years</w:t>
      </w:r>
      <w:r>
        <w:br/>
      </w:r>
      <w:r>
        <w:rPr>
          <w:color w:val="50565b"/>
          <w:sz w:val="20"/>
        </w:rPr>
        <w:t>Customize content based on role and data access level</w:t>
      </w:r>
    </w:p>
    <w:p>
      <w:pPr>
        <w:pStyle w:val="Heading1"/>
      </w:pPr>
      <w:bookmarkStart w:name="_Toc007" w:id="007"/>
      <w:r>
        <w:t>6. Designated Security Personnel</w:t>
      </w:r>
      <w:bookmarkEnd w:id="007"/>
    </w:p>
    <w:p>
      <w:r>
        <w:t>HB 44 requires each LEA to designate an Information Security Officer (ISO) or responsible party accountable for cybersecurity program oversight and compliance.</w:t>
      </w:r>
    </w:p>
    <w:p>
      <w:pPr>
        <w:pStyle w:val="Heading2"/>
      </w:pPr>
      <w:r>
        <w:t>ISO Responsibilities</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3000"/>
        <w:gridCol w:w="7000"/>
      </w:tblGrid>
      <w:tr>
        <w:trPr>
          <w:tblHeader/>
          <w:trHeight w:val="400" w:hRule="atLeast"/>
        </w:trPr>
        <w:tc>
          <w:tcPr>
            <w:tcW w:w="0" w:type="auto"/>
            <w:shd w:val="clear" w:fill="002855"/>
            <w:vAlign w:val="center"/>
          </w:tcPr>
          <w:p>
            <w:pPr>
              <w:spacing w:before="0" w:after="0"/>
              <w:jc w:val="left"/>
            </w:pPr>
            <w:r>
              <w:rPr>
                <w:b/>
                <w:color w:val="ffffff"/>
                <w:sz w:val="20"/>
              </w:rPr>
              <w:t>Responsibility</w:t>
            </w:r>
          </w:p>
        </w:tc>
        <w:tc>
          <w:tcPr>
            <w:tcW w:w="0" w:type="auto"/>
            <w:shd w:val="clear" w:fill="002855"/>
            <w:vAlign w:val="center"/>
          </w:tcPr>
          <w:p>
            <w:pPr>
              <w:spacing w:before="0" w:after="0"/>
              <w:jc w:val="left"/>
            </w:pPr>
            <w:r>
              <w:rPr>
                <w:b/>
                <w:color w:val="ffffff"/>
                <w:sz w:val="20"/>
              </w:rPr>
              <w:t>Description</w:t>
            </w:r>
          </w:p>
        </w:tc>
      </w:tr>
      <w:tr>
        <w:trPr>
          <w:trHeight w:val="360" w:hRule="atLeast"/>
        </w:trPr>
        <w:tc>
          <w:tcPr>
            <w:tcW w:w="0" w:type="auto"/>
            <w:vAlign w:val="center"/>
          </w:tcPr>
          <w:p>
            <w:pPr>
              <w:spacing w:before="0" w:after="0"/>
              <w:jc w:val="left"/>
            </w:pPr>
            <w:r>
              <w:rPr>
                <w:color w:val="50565b"/>
                <w:sz w:val="20"/>
              </w:rPr>
              <w:t>Program Oversight</w:t>
            </w:r>
          </w:p>
        </w:tc>
        <w:tc>
          <w:tcPr>
            <w:tcW w:w="0" w:type="auto"/>
            <w:vAlign w:val="center"/>
          </w:tcPr>
          <w:p>
            <w:pPr>
              <w:spacing w:before="0" w:after="0"/>
              <w:jc w:val="left"/>
            </w:pPr>
            <w:r>
              <w:rPr>
                <w:color w:val="50565b"/>
                <w:sz w:val="20"/>
              </w:rPr>
              <w:t>Coordinate cybersecurity program activities</w:t>
            </w:r>
          </w:p>
        </w:tc>
      </w:tr>
      <w:tr>
        <w:trPr>
          <w:trHeight w:val="360" w:hRule="atLeast"/>
        </w:trPr>
        <w:tc>
          <w:tcPr>
            <w:tcW w:w="0" w:type="auto"/>
            <w:vAlign w:val="center"/>
          </w:tcPr>
          <w:p>
            <w:pPr>
              <w:spacing w:before="0" w:after="0"/>
              <w:jc w:val="left"/>
            </w:pPr>
            <w:r>
              <w:rPr>
                <w:color w:val="50565b"/>
                <w:sz w:val="20"/>
              </w:rPr>
              <w:t>Risk Management</w:t>
            </w:r>
          </w:p>
        </w:tc>
        <w:tc>
          <w:tcPr>
            <w:tcW w:w="0" w:type="auto"/>
            <w:vAlign w:val="center"/>
          </w:tcPr>
          <w:p>
            <w:pPr>
              <w:spacing w:before="0" w:after="0"/>
              <w:jc w:val="left"/>
            </w:pPr>
            <w:r>
              <w:rPr>
                <w:color w:val="50565b"/>
                <w:sz w:val="20"/>
              </w:rPr>
              <w:t>Lead risk assessment and mitigation efforts</w:t>
            </w:r>
          </w:p>
        </w:tc>
      </w:tr>
      <w:tr>
        <w:trPr>
          <w:trHeight w:val="360" w:hRule="atLeast"/>
        </w:trPr>
        <w:tc>
          <w:tcPr>
            <w:tcW w:w="0" w:type="auto"/>
            <w:vAlign w:val="center"/>
          </w:tcPr>
          <w:p>
            <w:pPr>
              <w:spacing w:before="0" w:after="0"/>
              <w:jc w:val="left"/>
            </w:pPr>
            <w:r>
              <w:rPr>
                <w:color w:val="50565b"/>
                <w:sz w:val="20"/>
              </w:rPr>
              <w:t>Policy Development</w:t>
            </w:r>
          </w:p>
        </w:tc>
        <w:tc>
          <w:tcPr>
            <w:tcW w:w="0" w:type="auto"/>
            <w:vAlign w:val="center"/>
          </w:tcPr>
          <w:p>
            <w:pPr>
              <w:spacing w:before="0" w:after="0"/>
              <w:jc w:val="left"/>
            </w:pPr>
            <w:r>
              <w:rPr>
                <w:color w:val="50565b"/>
                <w:sz w:val="20"/>
              </w:rPr>
              <w:t>Develop and maintain security policies</w:t>
            </w:r>
          </w:p>
        </w:tc>
      </w:tr>
      <w:tr>
        <w:trPr>
          <w:trHeight w:val="360" w:hRule="atLeast"/>
        </w:trPr>
        <w:tc>
          <w:tcPr>
            <w:tcW w:w="0" w:type="auto"/>
            <w:vAlign w:val="center"/>
          </w:tcPr>
          <w:p>
            <w:pPr>
              <w:spacing w:before="0" w:after="0"/>
              <w:jc w:val="left"/>
            </w:pPr>
            <w:r>
              <w:rPr>
                <w:color w:val="50565b"/>
                <w:sz w:val="20"/>
              </w:rPr>
              <w:t>Incident Coordination</w:t>
            </w:r>
          </w:p>
        </w:tc>
        <w:tc>
          <w:tcPr>
            <w:tcW w:w="0" w:type="auto"/>
            <w:vAlign w:val="center"/>
          </w:tcPr>
          <w:p>
            <w:pPr>
              <w:spacing w:before="0" w:after="0"/>
              <w:jc w:val="left"/>
            </w:pPr>
            <w:r>
              <w:rPr>
                <w:color w:val="50565b"/>
                <w:sz w:val="20"/>
              </w:rPr>
              <w:t>Coordinate incident response activities</w:t>
            </w:r>
          </w:p>
        </w:tc>
      </w:tr>
      <w:tr>
        <w:trPr>
          <w:trHeight w:val="360" w:hRule="atLeast"/>
        </w:trPr>
        <w:tc>
          <w:tcPr>
            <w:tcW w:w="0" w:type="auto"/>
            <w:vAlign w:val="center"/>
          </w:tcPr>
          <w:p>
            <w:pPr>
              <w:spacing w:before="0" w:after="0"/>
              <w:jc w:val="left"/>
            </w:pPr>
            <w:r>
              <w:rPr>
                <w:color w:val="50565b"/>
                <w:sz w:val="20"/>
              </w:rPr>
              <w:t>Compliance Reporting</w:t>
            </w:r>
          </w:p>
        </w:tc>
        <w:tc>
          <w:tcPr>
            <w:tcW w:w="0" w:type="auto"/>
            <w:vAlign w:val="center"/>
          </w:tcPr>
          <w:p>
            <w:pPr>
              <w:spacing w:before="0" w:after="0"/>
              <w:jc w:val="left"/>
            </w:pPr>
            <w:r>
              <w:rPr>
                <w:color w:val="50565b"/>
                <w:sz w:val="20"/>
              </w:rPr>
              <w:t>Prepare and submit required reports</w:t>
            </w:r>
          </w:p>
        </w:tc>
      </w:tr>
      <w:tr>
        <w:trPr>
          <w:trHeight w:val="360" w:hRule="atLeast"/>
        </w:trPr>
        <w:tc>
          <w:tcPr>
            <w:tcW w:w="0" w:type="auto"/>
            <w:vAlign w:val="center"/>
          </w:tcPr>
          <w:p>
            <w:pPr>
              <w:spacing w:before="0" w:after="0"/>
              <w:jc w:val="left"/>
            </w:pPr>
            <w:r>
              <w:rPr>
                <w:color w:val="50565b"/>
                <w:sz w:val="20"/>
              </w:rPr>
              <w:t>Training Coordination</w:t>
            </w:r>
          </w:p>
        </w:tc>
        <w:tc>
          <w:tcPr>
            <w:tcW w:w="0" w:type="auto"/>
            <w:vAlign w:val="center"/>
          </w:tcPr>
          <w:p>
            <w:pPr>
              <w:spacing w:before="0" w:after="0"/>
              <w:jc w:val="left"/>
            </w:pPr>
            <w:r>
              <w:rPr>
                <w:color w:val="50565b"/>
                <w:sz w:val="20"/>
              </w:rPr>
              <w:t>Oversee security awareness program</w:t>
            </w:r>
          </w:p>
        </w:tc>
      </w:tr>
      <w:tr>
        <w:trPr>
          <w:trHeight w:val="360" w:hRule="atLeast"/>
        </w:trPr>
        <w:tc>
          <w:tcPr>
            <w:tcW w:w="0" w:type="auto"/>
            <w:vAlign w:val="center"/>
          </w:tcPr>
          <w:p>
            <w:pPr>
              <w:spacing w:before="0" w:after="0"/>
              <w:jc w:val="left"/>
            </w:pPr>
            <w:r>
              <w:rPr>
                <w:color w:val="50565b"/>
                <w:sz w:val="20"/>
              </w:rPr>
              <w:t>Vendor Oversight</w:t>
            </w:r>
          </w:p>
        </w:tc>
        <w:tc>
          <w:tcPr>
            <w:tcW w:w="0" w:type="auto"/>
            <w:vAlign w:val="center"/>
          </w:tcPr>
          <w:p>
            <w:pPr>
              <w:spacing w:before="0" w:after="0"/>
              <w:jc w:val="left"/>
            </w:pPr>
            <w:r>
              <w:rPr>
                <w:color w:val="50565b"/>
                <w:sz w:val="20"/>
              </w:rPr>
              <w:t>Review vendor security assessments</w:t>
            </w:r>
          </w:p>
        </w:tc>
      </w:tr>
    </w:tbl>
    <w:p>
      <w:pPr>
        <w:pStyle w:val="Heading2"/>
      </w:pPr>
      <w:r>
        <w:t>Qualifications &amp; Resources</w:t>
      </w:r>
    </w:p>
    <w:p>
      <w:r>
        <w:t>While HB 44 does not specify formal certification requirements, the Utah Cyber Alliance recommends the following competencies:</w:t>
      </w:r>
    </w:p>
    <w:p>
      <w:pPr>
        <w:numPr>
          <w:ilvl w:val="0"/>
          <w:numId w:val="1"/>
        </w:numPr>
        <w:spacing w:after="80"/>
      </w:pPr>
      <w:r>
        <w:rPr>
          <w:color w:val="7caf2e"/>
        </w:rPr>
        <w:t xml:space="preserve">✓ </w:t>
      </w:r>
      <w:r>
        <w:t>Understanding of NIST Cybersecurity Framework or CIS Controls</w:t>
      </w:r>
    </w:p>
    <w:p>
      <w:pPr>
        <w:numPr>
          <w:ilvl w:val="0"/>
          <w:numId w:val="1"/>
        </w:numPr>
        <w:spacing w:after="80"/>
      </w:pPr>
      <w:r>
        <w:rPr>
          <w:color w:val="7caf2e"/>
        </w:rPr>
        <w:t xml:space="preserve">✓ </w:t>
      </w:r>
      <w:r>
        <w:t>Knowledge of FERPA and Utah student data protection laws</w:t>
      </w:r>
    </w:p>
    <w:p>
      <w:pPr>
        <w:numPr>
          <w:ilvl w:val="0"/>
          <w:numId w:val="1"/>
        </w:numPr>
        <w:spacing w:after="80"/>
      </w:pPr>
      <w:r>
        <w:rPr>
          <w:color w:val="7caf2e"/>
        </w:rPr>
        <w:t xml:space="preserve">✓ </w:t>
      </w:r>
      <w:r>
        <w:t>Experience with risk assessment methodologies</w:t>
      </w:r>
    </w:p>
    <w:p>
      <w:pPr>
        <w:numPr>
          <w:ilvl w:val="0"/>
          <w:numId w:val="1"/>
        </w:numPr>
        <w:spacing w:after="80"/>
      </w:pPr>
      <w:r>
        <w:rPr>
          <w:color w:val="7caf2e"/>
        </w:rPr>
        <w:t xml:space="preserve">✓ </w:t>
      </w:r>
      <w:r>
        <w:t>Familiarity with incident response procedures</w:t>
      </w:r>
    </w:p>
    <w:p>
      <w:pPr>
        <w:numPr>
          <w:ilvl w:val="0"/>
          <w:numId w:val="1"/>
        </w:numPr>
        <w:spacing w:after="80"/>
      </w:pPr>
      <w:r>
        <w:rPr>
          <w:color w:val="7caf2e"/>
        </w:rPr>
        <w:t xml:space="preserve">✓ </w:t>
      </w:r>
      <w:r>
        <w:t>Ability to communicate technical concepts to non-technical stakeholders</w:t>
      </w:r>
    </w:p>
    <w:p>
      <w:pPr>
        <w:pBdr>
          <w:left w:val="single" w:color="f05023" w:sz="24"/>
        </w:pBdr>
        <w:shd w:val="clear" w:fill="fff0eb"/>
        <w:spacing w:before="200" w:after="200"/>
        <w:ind w:left="200" w:right="200"/>
      </w:pPr>
      <w:r>
        <w:rPr>
          <w:b/>
          <w:color w:val="f05023"/>
          <w:sz w:val="20"/>
        </w:rPr>
        <w:t>RESOURCE-CONSTRAINED DISTRICTS</w:t>
      </w:r>
      <w:r>
        <w:br/>
      </w:r>
      <w:r>
        <w:rPr>
          <w:color w:val="50565b"/>
          <w:sz w:val="20"/>
        </w:rPr>
        <w:t>Small districts and charter schools may designate an existing IT staff member as ISO. Consider shared services arrangements with regional cooperatives or contracted security services to meet this requirement.</w:t>
      </w:r>
    </w:p>
    <w:p>
      <w:pPr>
        <w:pStyle w:val="Heading1"/>
      </w:pPr>
      <w:bookmarkStart w:name="_Toc008" w:id="008"/>
      <w:r>
        <w:t>7. Vendor Management</w:t>
      </w:r>
      <w:bookmarkEnd w:id="008"/>
    </w:p>
    <w:p>
      <w:r>
        <w:t>Third-party vendors with access to student data or education systems represent significant security risks. HB 44 requires LEAs to establish security requirements and data processing agreements with all vendors.</w:t>
      </w:r>
    </w:p>
    <w:p>
      <w:pPr>
        <w:pStyle w:val="Heading2"/>
      </w:pPr>
      <w:r>
        <w:t>Vendor Risk Categories</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2000"/>
        <w:gridCol w:w="4000"/>
        <w:gridCol w:w="4000"/>
      </w:tblGrid>
      <w:tr>
        <w:trPr>
          <w:tblHeader/>
          <w:trHeight w:val="400" w:hRule="atLeast"/>
        </w:trPr>
        <w:tc>
          <w:tcPr>
            <w:tcW w:w="0" w:type="auto"/>
            <w:shd w:val="clear" w:fill="002855"/>
            <w:vAlign w:val="center"/>
          </w:tcPr>
          <w:p>
            <w:pPr>
              <w:spacing w:before="0" w:after="0"/>
              <w:jc w:val="left"/>
            </w:pPr>
            <w:r>
              <w:rPr>
                <w:b/>
                <w:color w:val="ffffff"/>
                <w:sz w:val="20"/>
              </w:rPr>
              <w:t>Risk Level</w:t>
            </w:r>
          </w:p>
        </w:tc>
        <w:tc>
          <w:tcPr>
            <w:tcW w:w="0" w:type="auto"/>
            <w:shd w:val="clear" w:fill="002855"/>
            <w:vAlign w:val="center"/>
          </w:tcPr>
          <w:p>
            <w:pPr>
              <w:spacing w:before="0" w:after="0"/>
              <w:jc w:val="left"/>
            </w:pPr>
            <w:r>
              <w:rPr>
                <w:b/>
                <w:color w:val="ffffff"/>
                <w:sz w:val="20"/>
              </w:rPr>
              <w:t>Examples</w:t>
            </w:r>
          </w:p>
        </w:tc>
        <w:tc>
          <w:tcPr>
            <w:tcW w:w="0" w:type="auto"/>
            <w:shd w:val="clear" w:fill="002855"/>
            <w:vAlign w:val="center"/>
          </w:tcPr>
          <w:p>
            <w:pPr>
              <w:spacing w:before="0" w:after="0"/>
              <w:jc w:val="left"/>
            </w:pPr>
            <w:r>
              <w:rPr>
                <w:b/>
                <w:color w:val="ffffff"/>
                <w:sz w:val="20"/>
              </w:rPr>
              <w:t>Assessment Required</w:t>
            </w:r>
          </w:p>
        </w:tc>
      </w:tr>
      <w:tr>
        <w:trPr>
          <w:trHeight w:val="360" w:hRule="atLeast"/>
        </w:trPr>
        <w:tc>
          <w:tcPr>
            <w:tcW w:w="0" w:type="auto"/>
            <w:vAlign w:val="center"/>
          </w:tcPr>
          <w:p>
            <w:pPr>
              <w:spacing w:before="0" w:after="0"/>
              <w:jc w:val="left"/>
            </w:pPr>
            <w:r>
              <w:rPr>
                <w:color w:val="50565b"/>
                <w:sz w:val="20"/>
              </w:rPr>
              <w:t>High</w:t>
            </w:r>
          </w:p>
        </w:tc>
        <w:tc>
          <w:tcPr>
            <w:tcW w:w="0" w:type="auto"/>
            <w:vAlign w:val="center"/>
          </w:tcPr>
          <w:p>
            <w:pPr>
              <w:spacing w:before="0" w:after="0"/>
              <w:jc w:val="left"/>
            </w:pPr>
            <w:r>
              <w:rPr>
                <w:color w:val="50565b"/>
                <w:sz w:val="20"/>
              </w:rPr>
              <w:t>SIS vendors, cloud storage, payment processors</w:t>
            </w:r>
          </w:p>
        </w:tc>
        <w:tc>
          <w:tcPr>
            <w:tcW w:w="0" w:type="auto"/>
            <w:vAlign w:val="center"/>
          </w:tcPr>
          <w:p>
            <w:pPr>
              <w:spacing w:before="0" w:after="0"/>
              <w:jc w:val="left"/>
            </w:pPr>
            <w:r>
              <w:rPr>
                <w:color w:val="50565b"/>
                <w:sz w:val="20"/>
              </w:rPr>
              <w:t>Full security assessment</w:t>
            </w:r>
          </w:p>
        </w:tc>
      </w:tr>
      <w:tr>
        <w:trPr>
          <w:trHeight w:val="360" w:hRule="atLeast"/>
        </w:trPr>
        <w:tc>
          <w:tcPr>
            <w:tcW w:w="0" w:type="auto"/>
            <w:vAlign w:val="center"/>
          </w:tcPr>
          <w:p>
            <w:pPr>
              <w:spacing w:before="0" w:after="0"/>
              <w:jc w:val="left"/>
            </w:pPr>
            <w:r>
              <w:rPr>
                <w:color w:val="50565b"/>
                <w:sz w:val="20"/>
              </w:rPr>
              <w:t>Medium</w:t>
            </w:r>
          </w:p>
        </w:tc>
        <w:tc>
          <w:tcPr>
            <w:tcW w:w="0" w:type="auto"/>
            <w:vAlign w:val="center"/>
          </w:tcPr>
          <w:p>
            <w:pPr>
              <w:spacing w:before="0" w:after="0"/>
              <w:jc w:val="left"/>
            </w:pPr>
            <w:r>
              <w:rPr>
                <w:color w:val="50565b"/>
                <w:sz w:val="20"/>
              </w:rPr>
              <w:t>Learning platforms, communication tools</w:t>
            </w:r>
          </w:p>
        </w:tc>
        <w:tc>
          <w:tcPr>
            <w:tcW w:w="0" w:type="auto"/>
            <w:vAlign w:val="center"/>
          </w:tcPr>
          <w:p>
            <w:pPr>
              <w:spacing w:before="0" w:after="0"/>
              <w:jc w:val="left"/>
            </w:pPr>
            <w:r>
              <w:rPr>
                <w:color w:val="50565b"/>
                <w:sz w:val="20"/>
              </w:rPr>
              <w:t>Security questionnaire</w:t>
            </w:r>
          </w:p>
        </w:tc>
      </w:tr>
      <w:tr>
        <w:trPr>
          <w:trHeight w:val="360" w:hRule="atLeast"/>
        </w:trPr>
        <w:tc>
          <w:tcPr>
            <w:tcW w:w="0" w:type="auto"/>
            <w:vAlign w:val="center"/>
          </w:tcPr>
          <w:p>
            <w:pPr>
              <w:spacing w:before="0" w:after="0"/>
              <w:jc w:val="left"/>
            </w:pPr>
            <w:r>
              <w:rPr>
                <w:color w:val="50565b"/>
                <w:sz w:val="20"/>
              </w:rPr>
              <w:t>Low</w:t>
            </w:r>
          </w:p>
        </w:tc>
        <w:tc>
          <w:tcPr>
            <w:tcW w:w="0" w:type="auto"/>
            <w:vAlign w:val="center"/>
          </w:tcPr>
          <w:p>
            <w:pPr>
              <w:spacing w:before="0" w:after="0"/>
              <w:jc w:val="left"/>
            </w:pPr>
            <w:r>
              <w:rPr>
                <w:color w:val="50565b"/>
                <w:sz w:val="20"/>
              </w:rPr>
              <w:t>Office supplies, non-IT services</w:t>
            </w:r>
          </w:p>
        </w:tc>
        <w:tc>
          <w:tcPr>
            <w:tcW w:w="0" w:type="auto"/>
            <w:vAlign w:val="center"/>
          </w:tcPr>
          <w:p>
            <w:pPr>
              <w:spacing w:before="0" w:after="0"/>
              <w:jc w:val="left"/>
            </w:pPr>
            <w:r>
              <w:rPr>
                <w:color w:val="50565b"/>
                <w:sz w:val="20"/>
              </w:rPr>
              <w:t>Basic due diligence</w:t>
            </w:r>
          </w:p>
        </w:tc>
      </w:tr>
    </w:tbl>
    <w:p>
      <w:pPr>
        <w:pStyle w:val="Heading2"/>
      </w:pPr>
      <w:r>
        <w:t>Required Contract Provisions</w:t>
      </w:r>
    </w:p>
    <w:p>
      <w:r>
        <w:t>All vendor contracts involving student data must include:</w:t>
      </w:r>
    </w:p>
    <w:p>
      <w:pPr>
        <w:numPr>
          <w:ilvl w:val="0"/>
          <w:numId w:val="1"/>
        </w:numPr>
        <w:spacing w:after="80"/>
      </w:pPr>
      <w:r>
        <w:rPr>
          <w:color w:val="7caf2e"/>
        </w:rPr>
        <w:t xml:space="preserve">✓ </w:t>
      </w:r>
      <w:r>
        <w:t>Data use limitations - specify permitted uses and prohibitions</w:t>
      </w:r>
    </w:p>
    <w:p>
      <w:pPr>
        <w:numPr>
          <w:ilvl w:val="0"/>
          <w:numId w:val="1"/>
        </w:numPr>
        <w:spacing w:after="80"/>
      </w:pPr>
      <w:r>
        <w:rPr>
          <w:color w:val="7caf2e"/>
        </w:rPr>
        <w:t xml:space="preserve">✓ </w:t>
      </w:r>
      <w:r>
        <w:t>Security safeguards - require implementation of appropriate controls</w:t>
      </w:r>
    </w:p>
    <w:p>
      <w:pPr>
        <w:numPr>
          <w:ilvl w:val="0"/>
          <w:numId w:val="1"/>
        </w:numPr>
        <w:spacing w:after="80"/>
      </w:pPr>
      <w:r>
        <w:rPr>
          <w:color w:val="7caf2e"/>
        </w:rPr>
        <w:t xml:space="preserve">✓ </w:t>
      </w:r>
      <w:r>
        <w:t>Breach notification - specify timelines and notification procedures</w:t>
      </w:r>
    </w:p>
    <w:p>
      <w:pPr>
        <w:numPr>
          <w:ilvl w:val="0"/>
          <w:numId w:val="1"/>
        </w:numPr>
        <w:spacing w:after="80"/>
      </w:pPr>
      <w:r>
        <w:rPr>
          <w:color w:val="7caf2e"/>
        </w:rPr>
        <w:t xml:space="preserve">✓ </w:t>
      </w:r>
      <w:r>
        <w:t>Data retention and destruction - define retention periods and disposal methods</w:t>
      </w:r>
    </w:p>
    <w:p>
      <w:pPr>
        <w:numPr>
          <w:ilvl w:val="0"/>
          <w:numId w:val="1"/>
        </w:numPr>
        <w:spacing w:after="80"/>
      </w:pPr>
      <w:r>
        <w:rPr>
          <w:color w:val="7caf2e"/>
        </w:rPr>
        <w:t xml:space="preserve">✓ </w:t>
      </w:r>
      <w:r>
        <w:t>Audit rights - reserve right to audit vendor security practices</w:t>
      </w:r>
    </w:p>
    <w:p>
      <w:pPr>
        <w:numPr>
          <w:ilvl w:val="0"/>
          <w:numId w:val="1"/>
        </w:numPr>
        <w:spacing w:after="80"/>
      </w:pPr>
      <w:r>
        <w:rPr>
          <w:color w:val="7caf2e"/>
        </w:rPr>
        <w:t xml:space="preserve">✓ </w:t>
      </w:r>
      <w:r>
        <w:t>Subcontractor oversight - require notification and approval of subcontractors</w:t>
      </w:r>
    </w:p>
    <w:p>
      <w:pPr>
        <w:numPr>
          <w:ilvl w:val="0"/>
          <w:numId w:val="1"/>
        </w:numPr>
        <w:spacing w:after="80"/>
      </w:pPr>
      <w:r>
        <w:rPr>
          <w:color w:val="7caf2e"/>
        </w:rPr>
        <w:t xml:space="preserve">✓ </w:t>
      </w:r>
      <w:r>
        <w:t>Indemnification - specify liability for data breaches</w:t>
      </w:r>
    </w:p>
    <w:p>
      <w:pPr>
        <w:pStyle w:val="Heading2"/>
      </w:pPr>
      <w:r>
        <w:t>Vendor Assessment Process</w:t>
      </w:r>
    </w:p>
    <w:p>
      <w:r>
        <w:t>Before engaging vendors with access to sensitive data:</w:t>
      </w:r>
    </w:p>
    <w:p>
      <w:pPr>
        <w:numPr>
          <w:ilvl w:val="0"/>
          <w:numId w:val="2"/>
        </w:numPr>
        <w:spacing w:after="80"/>
      </w:pPr>
      <w:r>
        <w:t>Conduct security risk assessment based on data access level</w:t>
      </w:r>
    </w:p>
    <w:p>
      <w:pPr>
        <w:numPr>
          <w:ilvl w:val="0"/>
          <w:numId w:val="2"/>
        </w:numPr>
        <w:spacing w:after="80"/>
      </w:pPr>
      <w:r>
        <w:t>Review vendor security certifications (SOC 2, ISO 27001, etc.)</w:t>
      </w:r>
    </w:p>
    <w:p>
      <w:pPr>
        <w:numPr>
          <w:ilvl w:val="0"/>
          <w:numId w:val="2"/>
        </w:numPr>
        <w:spacing w:after="80"/>
      </w:pPr>
      <w:r>
        <w:t>Verify FERPA compliance and sign Data Privacy Agreement</w:t>
      </w:r>
    </w:p>
    <w:p>
      <w:pPr>
        <w:numPr>
          <w:ilvl w:val="0"/>
          <w:numId w:val="2"/>
        </w:numPr>
        <w:spacing w:after="80"/>
      </w:pPr>
      <w:r>
        <w:t>Document due diligence in vendor file</w:t>
      </w:r>
    </w:p>
    <w:p>
      <w:pPr>
        <w:numPr>
          <w:ilvl w:val="0"/>
          <w:numId w:val="2"/>
        </w:numPr>
        <w:spacing w:after="80"/>
      </w:pPr>
      <w:r>
        <w:t>Establish ongoing monitoring procedures</w:t>
      </w:r>
    </w:p>
    <w:p>
      <w:pPr>
        <w:pStyle w:val="Heading1"/>
      </w:pPr>
      <w:bookmarkStart w:name="_Toc009" w:id="009"/>
      <w:r>
        <w:t>8. Breach Notification Requirements</w:t>
      </w:r>
      <w:bookmarkEnd w:id="009"/>
    </w:p>
    <w:p>
      <w:r>
        <w:t>HB 44 delegates to the Cybersecurity Commission the authority to establish timelines and procedures for notifying the Utah State Board of Education (USBE) of significant data breaches affecting student information.</w:t>
      </w:r>
    </w:p>
    <w:p>
      <w:pPr>
        <w:pStyle w:val="Heading2"/>
      </w:pPr>
      <w:r>
        <w:t>Notification Timeline</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2500"/>
        <w:gridCol w:w="2500"/>
        <w:gridCol w:w="5000"/>
      </w:tblGrid>
      <w:tr>
        <w:trPr>
          <w:tblHeader/>
          <w:trHeight w:val="400" w:hRule="atLeast"/>
        </w:trPr>
        <w:tc>
          <w:tcPr>
            <w:tcW w:w="0" w:type="auto"/>
            <w:shd w:val="clear" w:fill="002855"/>
            <w:vAlign w:val="center"/>
          </w:tcPr>
          <w:p>
            <w:pPr>
              <w:spacing w:before="0" w:after="0"/>
              <w:jc w:val="left"/>
            </w:pPr>
            <w:r>
              <w:rPr>
                <w:b/>
                <w:color w:val="ffffff"/>
                <w:sz w:val="20"/>
              </w:rPr>
              <w:t>Timeline</w:t>
            </w:r>
          </w:p>
        </w:tc>
        <w:tc>
          <w:tcPr>
            <w:tcW w:w="0" w:type="auto"/>
            <w:shd w:val="clear" w:fill="002855"/>
            <w:vAlign w:val="center"/>
          </w:tcPr>
          <w:p>
            <w:pPr>
              <w:spacing w:before="0" w:after="0"/>
              <w:jc w:val="left"/>
            </w:pPr>
            <w:r>
              <w:rPr>
                <w:b/>
                <w:color w:val="ffffff"/>
                <w:sz w:val="20"/>
              </w:rPr>
              <w:t>Recipient</w:t>
            </w:r>
          </w:p>
        </w:tc>
        <w:tc>
          <w:tcPr>
            <w:tcW w:w="0" w:type="auto"/>
            <w:shd w:val="clear" w:fill="002855"/>
            <w:vAlign w:val="center"/>
          </w:tcPr>
          <w:p>
            <w:pPr>
              <w:spacing w:before="0" w:after="0"/>
              <w:jc w:val="left"/>
            </w:pPr>
            <w:r>
              <w:rPr>
                <w:b/>
                <w:color w:val="ffffff"/>
                <w:sz w:val="20"/>
              </w:rPr>
              <w:t>Requirement</w:t>
            </w:r>
          </w:p>
        </w:tc>
      </w:tr>
      <w:tr>
        <w:trPr>
          <w:trHeight w:val="360" w:hRule="atLeast"/>
        </w:trPr>
        <w:tc>
          <w:tcPr>
            <w:tcW w:w="0" w:type="auto"/>
            <w:vAlign w:val="center"/>
          </w:tcPr>
          <w:p>
            <w:pPr>
              <w:spacing w:before="0" w:after="0"/>
              <w:jc w:val="left"/>
            </w:pPr>
            <w:r>
              <w:rPr>
                <w:color w:val="50565b"/>
                <w:sz w:val="20"/>
              </w:rPr>
              <w:t>Within 24 hours</w:t>
            </w:r>
          </w:p>
        </w:tc>
        <w:tc>
          <w:tcPr>
            <w:tcW w:w="0" w:type="auto"/>
            <w:vAlign w:val="center"/>
          </w:tcPr>
          <w:p>
            <w:pPr>
              <w:spacing w:before="0" w:after="0"/>
              <w:jc w:val="left"/>
            </w:pPr>
            <w:r>
              <w:rPr>
                <w:color w:val="50565b"/>
                <w:sz w:val="20"/>
              </w:rPr>
              <w:t>USBE Security Office</w:t>
            </w:r>
          </w:p>
        </w:tc>
        <w:tc>
          <w:tcPr>
            <w:tcW w:w="0" w:type="auto"/>
            <w:vAlign w:val="center"/>
          </w:tcPr>
          <w:p>
            <w:pPr>
              <w:spacing w:before="0" w:after="0"/>
              <w:jc w:val="left"/>
            </w:pPr>
            <w:r>
              <w:rPr>
                <w:color w:val="50565b"/>
                <w:sz w:val="20"/>
              </w:rPr>
              <w:t>Initial notification of significant breach</w:t>
            </w:r>
          </w:p>
        </w:tc>
      </w:tr>
      <w:tr>
        <w:trPr>
          <w:trHeight w:val="360" w:hRule="atLeast"/>
        </w:trPr>
        <w:tc>
          <w:tcPr>
            <w:tcW w:w="0" w:type="auto"/>
            <w:vAlign w:val="center"/>
          </w:tcPr>
          <w:p>
            <w:pPr>
              <w:spacing w:before="0" w:after="0"/>
              <w:jc w:val="left"/>
            </w:pPr>
            <w:r>
              <w:rPr>
                <w:color w:val="50565b"/>
                <w:sz w:val="20"/>
              </w:rPr>
              <w:t>Per Commission rules</w:t>
            </w:r>
          </w:p>
        </w:tc>
        <w:tc>
          <w:tcPr>
            <w:tcW w:w="0" w:type="auto"/>
            <w:vAlign w:val="center"/>
          </w:tcPr>
          <w:p>
            <w:pPr>
              <w:spacing w:before="0" w:after="0"/>
              <w:jc w:val="left"/>
            </w:pPr>
            <w:r>
              <w:rPr>
                <w:color w:val="50565b"/>
                <w:sz w:val="20"/>
              </w:rPr>
              <w:t>State Superintendent</w:t>
            </w:r>
          </w:p>
        </w:tc>
        <w:tc>
          <w:tcPr>
            <w:tcW w:w="0" w:type="auto"/>
            <w:vAlign w:val="center"/>
          </w:tcPr>
          <w:p>
            <w:pPr>
              <w:spacing w:before="0" w:after="0"/>
              <w:jc w:val="left"/>
            </w:pPr>
            <w:r>
              <w:rPr>
                <w:color w:val="50565b"/>
                <w:sz w:val="20"/>
              </w:rPr>
              <w:t>Written notification with details</w:t>
            </w:r>
          </w:p>
        </w:tc>
      </w:tr>
      <w:tr>
        <w:trPr>
          <w:trHeight w:val="360" w:hRule="atLeast"/>
        </w:trPr>
        <w:tc>
          <w:tcPr>
            <w:tcW w:w="0" w:type="auto"/>
            <w:vAlign w:val="center"/>
          </w:tcPr>
          <w:p>
            <w:pPr>
              <w:spacing w:before="0" w:after="0"/>
              <w:jc w:val="left"/>
            </w:pPr>
            <w:r>
              <w:rPr>
                <w:color w:val="50565b"/>
                <w:sz w:val="20"/>
              </w:rPr>
              <w:t>As required by law</w:t>
            </w:r>
          </w:p>
        </w:tc>
        <w:tc>
          <w:tcPr>
            <w:tcW w:w="0" w:type="auto"/>
            <w:vAlign w:val="center"/>
          </w:tcPr>
          <w:p>
            <w:pPr>
              <w:spacing w:before="0" w:after="0"/>
              <w:jc w:val="left"/>
            </w:pPr>
            <w:r>
              <w:rPr>
                <w:color w:val="50565b"/>
                <w:sz w:val="20"/>
              </w:rPr>
              <w:t>Affected individuals</w:t>
            </w:r>
          </w:p>
        </w:tc>
        <w:tc>
          <w:tcPr>
            <w:tcW w:w="0" w:type="auto"/>
            <w:vAlign w:val="center"/>
          </w:tcPr>
          <w:p>
            <w:pPr>
              <w:spacing w:before="0" w:after="0"/>
              <w:jc w:val="left"/>
            </w:pPr>
            <w:r>
              <w:rPr>
                <w:color w:val="50565b"/>
                <w:sz w:val="20"/>
              </w:rPr>
              <w:t>Parent/student notification per state/federal law</w:t>
            </w:r>
          </w:p>
        </w:tc>
      </w:tr>
    </w:tbl>
    <w:p>
      <w:pPr>
        <w:pStyle w:val="Heading2"/>
      </w:pPr>
      <w:r>
        <w:t>What Constitutes a Significant Breach</w:t>
      </w:r>
    </w:p>
    <w:p>
      <w:r>
        <w:t>A significant breach requiring notification to USBE includes:</w:t>
      </w:r>
    </w:p>
    <w:p>
      <w:pPr>
        <w:numPr>
          <w:ilvl w:val="0"/>
          <w:numId w:val="1"/>
        </w:numPr>
        <w:spacing w:after="80"/>
      </w:pPr>
      <w:r>
        <w:rPr>
          <w:color w:val="7caf2e"/>
        </w:rPr>
        <w:t xml:space="preserve">✓ </w:t>
      </w:r>
      <w:r>
        <w:t>Unauthorized access to student PII affecting 500+ individuals</w:t>
      </w:r>
    </w:p>
    <w:p>
      <w:pPr>
        <w:numPr>
          <w:ilvl w:val="0"/>
          <w:numId w:val="1"/>
        </w:numPr>
        <w:spacing w:after="80"/>
      </w:pPr>
      <w:r>
        <w:rPr>
          <w:color w:val="7caf2e"/>
        </w:rPr>
        <w:t xml:space="preserve">✓ </w:t>
      </w:r>
      <w:r>
        <w:t>Ransomware or other malicious software deployment</w:t>
      </w:r>
    </w:p>
    <w:p>
      <w:pPr>
        <w:numPr>
          <w:ilvl w:val="0"/>
          <w:numId w:val="1"/>
        </w:numPr>
        <w:spacing w:after="80"/>
      </w:pPr>
      <w:r>
        <w:rPr>
          <w:color w:val="7caf2e"/>
        </w:rPr>
        <w:t xml:space="preserve">✓ </w:t>
      </w:r>
      <w:r>
        <w:t>Theft or loss of unencrypted devices containing student data</w:t>
      </w:r>
    </w:p>
    <w:p>
      <w:pPr>
        <w:numPr>
          <w:ilvl w:val="0"/>
          <w:numId w:val="1"/>
        </w:numPr>
        <w:spacing w:after="80"/>
      </w:pPr>
      <w:r>
        <w:rPr>
          <w:color w:val="7caf2e"/>
        </w:rPr>
        <w:t xml:space="preserve">✓ </w:t>
      </w:r>
      <w:r>
        <w:t>Unauthorized disclosure of special education records</w:t>
      </w:r>
    </w:p>
    <w:p>
      <w:pPr>
        <w:numPr>
          <w:ilvl w:val="0"/>
          <w:numId w:val="1"/>
        </w:numPr>
        <w:spacing w:after="80"/>
      </w:pPr>
      <w:r>
        <w:rPr>
          <w:color w:val="7caf2e"/>
        </w:rPr>
        <w:t xml:space="preserve">✓ </w:t>
      </w:r>
      <w:r>
        <w:t>Any breach requiring notification under state or federal law</w:t>
      </w:r>
    </w:p>
    <w:p>
      <w:pPr>
        <w:pStyle w:val="Heading2"/>
      </w:pPr>
      <w:r>
        <w:t>Required Notification Content</w:t>
      </w:r>
    </w:p>
    <w:p>
      <w:r>
        <w:t>Breach notifications to USBE must include:</w:t>
      </w:r>
    </w:p>
    <w:p>
      <w:pPr>
        <w:numPr>
          <w:ilvl w:val="0"/>
          <w:numId w:val="2"/>
        </w:numPr>
        <w:spacing w:after="80"/>
      </w:pPr>
      <w:r>
        <w:t>Date and time of discovery</w:t>
      </w:r>
    </w:p>
    <w:p>
      <w:pPr>
        <w:numPr>
          <w:ilvl w:val="0"/>
          <w:numId w:val="2"/>
        </w:numPr>
        <w:spacing w:after="80"/>
      </w:pPr>
      <w:r>
        <w:t>Nature and scope of the breach</w:t>
      </w:r>
    </w:p>
    <w:p>
      <w:pPr>
        <w:numPr>
          <w:ilvl w:val="0"/>
          <w:numId w:val="2"/>
        </w:numPr>
        <w:spacing w:after="80"/>
      </w:pPr>
      <w:r>
        <w:t>Types of information involved</w:t>
      </w:r>
    </w:p>
    <w:p>
      <w:pPr>
        <w:numPr>
          <w:ilvl w:val="0"/>
          <w:numId w:val="2"/>
        </w:numPr>
        <w:spacing w:after="80"/>
      </w:pPr>
      <w:r>
        <w:t>Number of individuals affected</w:t>
      </w:r>
    </w:p>
    <w:p>
      <w:pPr>
        <w:numPr>
          <w:ilvl w:val="0"/>
          <w:numId w:val="2"/>
        </w:numPr>
        <w:spacing w:after="80"/>
      </w:pPr>
      <w:r>
        <w:t>Steps taken to contain the breach</w:t>
      </w:r>
    </w:p>
    <w:p>
      <w:pPr>
        <w:numPr>
          <w:ilvl w:val="0"/>
          <w:numId w:val="2"/>
        </w:numPr>
        <w:spacing w:after="80"/>
      </w:pPr>
      <w:r>
        <w:t>Contact information for follow-up</w:t>
      </w:r>
    </w:p>
    <w:p>
      <w:pPr>
        <w:numPr>
          <w:ilvl w:val="0"/>
          <w:numId w:val="2"/>
        </w:numPr>
        <w:spacing w:after="80"/>
      </w:pPr>
      <w:r>
        <w:t>Proposed remediation and prevention measures</w:t>
      </w:r>
    </w:p>
    <w:p>
      <w:pPr>
        <w:pBdr>
          <w:left w:val="single" w:color="f05023" w:sz="24"/>
        </w:pBdr>
        <w:shd w:val="clear" w:fill="fff0eb"/>
        <w:spacing w:before="200" w:after="200"/>
        <w:ind w:left="200" w:right="200"/>
      </w:pPr>
      <w:r>
        <w:rPr>
          <w:b/>
          <w:color w:val="f05023"/>
          <w:sz w:val="20"/>
        </w:rPr>
        <w:t>IMMEDIATE ACTION REQUIRED</w:t>
      </w:r>
      <w:r>
        <w:br/>
      </w:r>
      <w:r>
        <w:rPr>
          <w:color w:val="50565b"/>
          <w:sz w:val="20"/>
        </w:rPr>
        <w:t>Upon discovery of a significant breach:</w:t>
      </w:r>
      <w:r>
        <w:br/>
      </w:r>
      <w:r>
        <w:rPr>
          <w:color w:val="50565b"/>
          <w:sz w:val="20"/>
        </w:rPr>
        <w:t>1. Contain and secure systems immediately</w:t>
      </w:r>
      <w:r>
        <w:br/>
      </w:r>
      <w:r>
        <w:rPr>
          <w:color w:val="50565b"/>
          <w:sz w:val="20"/>
        </w:rPr>
        <w:t>2. Notify USBE per Cybersecurity Commission timelines</w:t>
      </w:r>
      <w:r>
        <w:br/>
      </w:r>
      <w:r>
        <w:rPr>
          <w:color w:val="50565b"/>
          <w:sz w:val="20"/>
        </w:rPr>
        <w:t>3. Engage legal counsel for notification requirements</w:t>
      </w:r>
      <w:r>
        <w:br/>
      </w:r>
      <w:r>
        <w:rPr>
          <w:color w:val="50565b"/>
          <w:sz w:val="20"/>
        </w:rPr>
        <w:t>4. Prepare parent/student notifications as required by law</w:t>
      </w:r>
    </w:p>
    <w:p>
      <w:pPr>
        <w:pStyle w:val="Heading1"/>
      </w:pPr>
      <w:bookmarkStart w:name="_Toc010" w:id="010"/>
      <w:r>
        <w:t>9. Network Security Controls</w:t>
      </w:r>
      <w:bookmarkEnd w:id="010"/>
    </w:p>
    <w:p>
      <w:r>
        <w:t>HB 44 requires implementation of baseline technical controls to protect network infrastructure, endpoints, and data. These controls form the technical foundation of your cybersecurity program.</w:t>
      </w:r>
    </w:p>
    <w:p>
      <w:pPr>
        <w:pStyle w:val="Heading2"/>
      </w:pPr>
      <w:r>
        <w:t>Required Technical Controls</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2500"/>
        <w:gridCol w:w="3500"/>
        <w:gridCol w:w="4000"/>
      </w:tblGrid>
      <w:tr>
        <w:trPr>
          <w:tblHeader/>
          <w:trHeight w:val="400" w:hRule="atLeast"/>
        </w:trPr>
        <w:tc>
          <w:tcPr>
            <w:tcW w:w="0" w:type="auto"/>
            <w:shd w:val="clear" w:fill="002855"/>
            <w:vAlign w:val="center"/>
          </w:tcPr>
          <w:p>
            <w:pPr>
              <w:spacing w:before="0" w:after="0"/>
              <w:jc w:val="left"/>
            </w:pPr>
            <w:r>
              <w:rPr>
                <w:b/>
                <w:color w:val="ffffff"/>
                <w:sz w:val="20"/>
              </w:rPr>
              <w:t>Control Category</w:t>
            </w:r>
          </w:p>
        </w:tc>
        <w:tc>
          <w:tcPr>
            <w:tcW w:w="0" w:type="auto"/>
            <w:shd w:val="clear" w:fill="002855"/>
            <w:vAlign w:val="center"/>
          </w:tcPr>
          <w:p>
            <w:pPr>
              <w:spacing w:before="0" w:after="0"/>
              <w:jc w:val="left"/>
            </w:pPr>
            <w:r>
              <w:rPr>
                <w:b/>
                <w:color w:val="ffffff"/>
                <w:sz w:val="20"/>
              </w:rPr>
              <w:t>Required Controls</w:t>
            </w:r>
          </w:p>
        </w:tc>
        <w:tc>
          <w:tcPr>
            <w:tcW w:w="0" w:type="auto"/>
            <w:shd w:val="clear" w:fill="002855"/>
            <w:vAlign w:val="center"/>
          </w:tcPr>
          <w:p>
            <w:pPr>
              <w:spacing w:before="0" w:after="0"/>
              <w:jc w:val="left"/>
            </w:pPr>
            <w:r>
              <w:rPr>
                <w:b/>
                <w:color w:val="ffffff"/>
                <w:sz w:val="20"/>
              </w:rPr>
              <w:t>Implementation Notes</w:t>
            </w:r>
          </w:p>
        </w:tc>
      </w:tr>
      <w:tr>
        <w:trPr>
          <w:trHeight w:val="360" w:hRule="atLeast"/>
        </w:trPr>
        <w:tc>
          <w:tcPr>
            <w:tcW w:w="0" w:type="auto"/>
            <w:vAlign w:val="center"/>
          </w:tcPr>
          <w:p>
            <w:pPr>
              <w:spacing w:before="0" w:after="0"/>
              <w:jc w:val="left"/>
            </w:pPr>
            <w:r>
              <w:rPr>
                <w:color w:val="50565b"/>
                <w:sz w:val="20"/>
              </w:rPr>
              <w:t>Access Management</w:t>
            </w:r>
          </w:p>
        </w:tc>
        <w:tc>
          <w:tcPr>
            <w:tcW w:w="0" w:type="auto"/>
            <w:vAlign w:val="center"/>
          </w:tcPr>
          <w:p>
            <w:pPr>
              <w:spacing w:before="0" w:after="0"/>
              <w:jc w:val="left"/>
            </w:pPr>
            <w:r>
              <w:rPr>
                <w:color w:val="50565b"/>
                <w:sz w:val="20"/>
              </w:rPr>
              <w:t>Multi-factor authentication, least privilege, account reviews</w:t>
            </w:r>
          </w:p>
        </w:tc>
        <w:tc>
          <w:tcPr>
            <w:tcW w:w="0" w:type="auto"/>
            <w:vAlign w:val="center"/>
          </w:tcPr>
          <w:p>
            <w:pPr>
              <w:spacing w:before="0" w:after="0"/>
              <w:jc w:val="left"/>
            </w:pPr>
            <w:r>
              <w:rPr>
                <w:color w:val="50565b"/>
                <w:sz w:val="20"/>
              </w:rPr>
              <w:t>MFA required for all admin accounts</w:t>
            </w:r>
          </w:p>
        </w:tc>
      </w:tr>
      <w:tr>
        <w:trPr>
          <w:trHeight w:val="360" w:hRule="atLeast"/>
        </w:trPr>
        <w:tc>
          <w:tcPr>
            <w:tcW w:w="0" w:type="auto"/>
            <w:vAlign w:val="center"/>
          </w:tcPr>
          <w:p>
            <w:pPr>
              <w:spacing w:before="0" w:after="0"/>
              <w:jc w:val="left"/>
            </w:pPr>
            <w:r>
              <w:rPr>
                <w:color w:val="50565b"/>
                <w:sz w:val="20"/>
              </w:rPr>
              <w:t>Endpoint Protection</w:t>
            </w:r>
          </w:p>
        </w:tc>
        <w:tc>
          <w:tcPr>
            <w:tcW w:w="0" w:type="auto"/>
            <w:vAlign w:val="center"/>
          </w:tcPr>
          <w:p>
            <w:pPr>
              <w:spacing w:before="0" w:after="0"/>
              <w:jc w:val="left"/>
            </w:pPr>
            <w:r>
              <w:rPr>
                <w:color w:val="50565b"/>
                <w:sz w:val="20"/>
              </w:rPr>
              <w:t>Antivirus/EDR, patch management, device encryption</w:t>
            </w:r>
          </w:p>
        </w:tc>
        <w:tc>
          <w:tcPr>
            <w:tcW w:w="0" w:type="auto"/>
            <w:vAlign w:val="center"/>
          </w:tcPr>
          <w:p>
            <w:pPr>
              <w:spacing w:before="0" w:after="0"/>
              <w:jc w:val="left"/>
            </w:pPr>
            <w:r>
              <w:rPr>
                <w:color w:val="50565b"/>
                <w:sz w:val="20"/>
              </w:rPr>
              <w:t>All devices accessing student data</w:t>
            </w:r>
          </w:p>
        </w:tc>
      </w:tr>
      <w:tr>
        <w:trPr>
          <w:trHeight w:val="360" w:hRule="atLeast"/>
        </w:trPr>
        <w:tc>
          <w:tcPr>
            <w:tcW w:w="0" w:type="auto"/>
            <w:vAlign w:val="center"/>
          </w:tcPr>
          <w:p>
            <w:pPr>
              <w:spacing w:before="0" w:after="0"/>
              <w:jc w:val="left"/>
            </w:pPr>
            <w:r>
              <w:rPr>
                <w:color w:val="50565b"/>
                <w:sz w:val="20"/>
              </w:rPr>
              <w:t>Network Security</w:t>
            </w:r>
          </w:p>
        </w:tc>
        <w:tc>
          <w:tcPr>
            <w:tcW w:w="0" w:type="auto"/>
            <w:vAlign w:val="center"/>
          </w:tcPr>
          <w:p>
            <w:pPr>
              <w:spacing w:before="0" w:after="0"/>
              <w:jc w:val="left"/>
            </w:pPr>
            <w:r>
              <w:rPr>
                <w:color w:val="50565b"/>
                <w:sz w:val="20"/>
              </w:rPr>
              <w:t>Firewalls, network segmentation, wireless security</w:t>
            </w:r>
          </w:p>
        </w:tc>
        <w:tc>
          <w:tcPr>
            <w:tcW w:w="0" w:type="auto"/>
            <w:vAlign w:val="center"/>
          </w:tcPr>
          <w:p>
            <w:pPr>
              <w:spacing w:before="0" w:after="0"/>
              <w:jc w:val="left"/>
            </w:pPr>
            <w:r>
              <w:rPr>
                <w:color w:val="50565b"/>
                <w:sz w:val="20"/>
              </w:rPr>
              <w:t>Separate student/admin networks</w:t>
            </w:r>
          </w:p>
        </w:tc>
      </w:tr>
      <w:tr>
        <w:trPr>
          <w:trHeight w:val="360" w:hRule="atLeast"/>
        </w:trPr>
        <w:tc>
          <w:tcPr>
            <w:tcW w:w="0" w:type="auto"/>
            <w:vAlign w:val="center"/>
          </w:tcPr>
          <w:p>
            <w:pPr>
              <w:spacing w:before="0" w:after="0"/>
              <w:jc w:val="left"/>
            </w:pPr>
            <w:r>
              <w:rPr>
                <w:color w:val="50565b"/>
                <w:sz w:val="20"/>
              </w:rPr>
              <w:t>Email Security</w:t>
            </w:r>
          </w:p>
        </w:tc>
        <w:tc>
          <w:tcPr>
            <w:tcW w:w="0" w:type="auto"/>
            <w:vAlign w:val="center"/>
          </w:tcPr>
          <w:p>
            <w:pPr>
              <w:spacing w:before="0" w:after="0"/>
              <w:jc w:val="left"/>
            </w:pPr>
            <w:r>
              <w:rPr>
                <w:color w:val="50565b"/>
                <w:sz w:val="20"/>
              </w:rPr>
              <w:t>Spam filtering, phishing protection, encryption</w:t>
            </w:r>
          </w:p>
        </w:tc>
        <w:tc>
          <w:tcPr>
            <w:tcW w:w="0" w:type="auto"/>
            <w:vAlign w:val="center"/>
          </w:tcPr>
          <w:p>
            <w:pPr>
              <w:spacing w:before="0" w:after="0"/>
              <w:jc w:val="left"/>
            </w:pPr>
            <w:r>
              <w:rPr>
                <w:color w:val="50565b"/>
                <w:sz w:val="20"/>
              </w:rPr>
              <w:t>Protect against email-borne threats</w:t>
            </w:r>
          </w:p>
        </w:tc>
      </w:tr>
      <w:tr>
        <w:trPr>
          <w:trHeight w:val="360" w:hRule="atLeast"/>
        </w:trPr>
        <w:tc>
          <w:tcPr>
            <w:tcW w:w="0" w:type="auto"/>
            <w:vAlign w:val="center"/>
          </w:tcPr>
          <w:p>
            <w:pPr>
              <w:spacing w:before="0" w:after="0"/>
              <w:jc w:val="left"/>
            </w:pPr>
            <w:r>
              <w:rPr>
                <w:color w:val="50565b"/>
                <w:sz w:val="20"/>
              </w:rPr>
              <w:t>Data Protection</w:t>
            </w:r>
          </w:p>
        </w:tc>
        <w:tc>
          <w:tcPr>
            <w:tcW w:w="0" w:type="auto"/>
            <w:vAlign w:val="center"/>
          </w:tcPr>
          <w:p>
            <w:pPr>
              <w:spacing w:before="0" w:after="0"/>
              <w:jc w:val="left"/>
            </w:pPr>
            <w:r>
              <w:rPr>
                <w:color w:val="50565b"/>
                <w:sz w:val="20"/>
              </w:rPr>
              <w:t>Encryption at rest/transit, backup, DLP</w:t>
            </w:r>
          </w:p>
        </w:tc>
        <w:tc>
          <w:tcPr>
            <w:tcW w:w="0" w:type="auto"/>
            <w:vAlign w:val="center"/>
          </w:tcPr>
          <w:p>
            <w:pPr>
              <w:spacing w:before="0" w:after="0"/>
              <w:jc w:val="left"/>
            </w:pPr>
            <w:r>
              <w:rPr>
                <w:color w:val="50565b"/>
                <w:sz w:val="20"/>
              </w:rPr>
              <w:t>Encrypt sensitive data</w:t>
            </w:r>
          </w:p>
        </w:tc>
      </w:tr>
      <w:tr>
        <w:trPr>
          <w:trHeight w:val="360" w:hRule="atLeast"/>
        </w:trPr>
        <w:tc>
          <w:tcPr>
            <w:tcW w:w="0" w:type="auto"/>
            <w:vAlign w:val="center"/>
          </w:tcPr>
          <w:p>
            <w:pPr>
              <w:spacing w:before="0" w:after="0"/>
              <w:jc w:val="left"/>
            </w:pPr>
            <w:r>
              <w:rPr>
                <w:color w:val="50565b"/>
                <w:sz w:val="20"/>
              </w:rPr>
              <w:t>Monitoring</w:t>
            </w:r>
          </w:p>
        </w:tc>
        <w:tc>
          <w:tcPr>
            <w:tcW w:w="0" w:type="auto"/>
            <w:vAlign w:val="center"/>
          </w:tcPr>
          <w:p>
            <w:pPr>
              <w:spacing w:before="0" w:after="0"/>
              <w:jc w:val="left"/>
            </w:pPr>
            <w:r>
              <w:rPr>
                <w:color w:val="50565b"/>
                <w:sz w:val="20"/>
              </w:rPr>
              <w:t>Logging, SIEM, intrusion detection</w:t>
            </w:r>
          </w:p>
        </w:tc>
        <w:tc>
          <w:tcPr>
            <w:tcW w:w="0" w:type="auto"/>
            <w:vAlign w:val="center"/>
          </w:tcPr>
          <w:p>
            <w:pPr>
              <w:spacing w:before="0" w:after="0"/>
              <w:jc w:val="left"/>
            </w:pPr>
            <w:r>
              <w:rPr>
                <w:color w:val="50565b"/>
                <w:sz w:val="20"/>
              </w:rPr>
              <w:t>Centralized log collection</w:t>
            </w:r>
          </w:p>
        </w:tc>
      </w:tr>
    </w:tbl>
    <w:p>
      <w:pPr>
        <w:pStyle w:val="Heading2"/>
      </w:pPr>
      <w:r>
        <w:t>Implementation Priorities</w:t>
      </w:r>
    </w:p>
    <w:p>
      <w:r>
        <w:rPr>
          <w:b/>
        </w:rPr>
        <w:t>Priority 1 - Critical (Implement Immediately)</w:t>
      </w:r>
      <w:r>
        <w:br/>
        <w:t>Multi-factor authentication for all administrative accounts, endpoint protection on all devices, and network segmentation between student and administrative networks.</w:t>
      </w:r>
    </w:p>
    <w:p>
      <w:r>
        <w:rPr>
          <w:b/>
        </w:rPr>
        <w:t>Priority 2 - High (Within 90 Days)</w:t>
      </w:r>
      <w:r>
        <w:br/>
        <w:t>MFA for all staff accounts, encrypted backups with offline copies, vulnerability scanning program, and web filtering implementation.</w:t>
      </w:r>
    </w:p>
    <w:p>
      <w:r>
        <w:rPr>
          <w:b/>
        </w:rPr>
        <w:t>Priority 3 - Medium (Within 180 Days)</w:t>
      </w:r>
      <w:r>
        <w:br/>
        <w:t>SIEM or log aggregation, email security gateway, mobile device management, and comprehensive patch management program.</w:t>
      </w:r>
    </w:p>
    <w:p>
      <w:pPr>
        <w:pBdr>
          <w:left w:val="single" w:color="7caf2e" w:sz="24"/>
        </w:pBdr>
        <w:shd w:val="clear" w:fill="f0f7e6"/>
        <w:spacing w:before="200" w:after="200"/>
        <w:ind w:left="200" w:right="200"/>
      </w:pPr>
      <w:r>
        <w:rPr>
          <w:b/>
          <w:color w:val="7caf2e"/>
          <w:sz w:val="20"/>
        </w:rPr>
        <w:t>BUDGET CONSIDERATIONS</w:t>
      </w:r>
      <w:r>
        <w:br/>
      </w:r>
      <w:r>
        <w:rPr>
          <w:color w:val="50565b"/>
          <w:sz w:val="20"/>
        </w:rPr>
        <w:t>Many essential controls are available at no cost:</w:t>
      </w:r>
      <w:r>
        <w:br/>
      </w:r>
      <w:r>
        <w:rPr>
          <w:color w:val="50565b"/>
          <w:sz w:val="20"/>
        </w:rPr>
        <w:t>- Microsoft/Google MFA (included with education licenses)</w:t>
      </w:r>
      <w:r>
        <w:br/>
      </w:r>
      <w:r>
        <w:rPr>
          <w:color w:val="50565b"/>
          <w:sz w:val="20"/>
        </w:rPr>
        <w:t>- CISA vulnerability scanning services (free)</w:t>
      </w:r>
      <w:r>
        <w:br/>
      </w:r>
      <w:r>
        <w:rPr>
          <w:color w:val="50565b"/>
          <w:sz w:val="20"/>
        </w:rPr>
        <w:t>- MS-ISAC security tools and threat intelligence (free to members)</w:t>
      </w:r>
      <w:r>
        <w:br/>
      </w:r>
      <w:r>
        <w:rPr>
          <w:color w:val="50565b"/>
          <w:sz w:val="20"/>
        </w:rPr>
        <w:t>- Open-source security tools for log analysis and monitoring</w:t>
      </w:r>
    </w:p>
    <w:p>
      <w:pPr>
        <w:pStyle w:val="Heading1"/>
      </w:pPr>
      <w:bookmarkStart w:name="_Toc011" w:id="011"/>
      <w:r>
        <w:t>10. Annual Reporting</w:t>
      </w:r>
      <w:bookmarkEnd w:id="011"/>
    </w:p>
    <w:p>
      <w:r>
        <w:t>HB 44 requires LEAs to submit annual compliance reports to the Utah State Board of Education (USBE) per timelines to be established by the Cybersecurity Commission.</w:t>
      </w:r>
    </w:p>
    <w:p>
      <w:pPr>
        <w:pStyle w:val="Heading2"/>
      </w:pPr>
      <w:r>
        <w:t>Report Components</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3000"/>
        <w:gridCol w:w="7000"/>
      </w:tblGrid>
      <w:tr>
        <w:trPr>
          <w:tblHeader/>
          <w:trHeight w:val="400" w:hRule="atLeast"/>
        </w:trPr>
        <w:tc>
          <w:tcPr>
            <w:tcW w:w="0" w:type="auto"/>
            <w:shd w:val="clear" w:fill="002855"/>
            <w:vAlign w:val="center"/>
          </w:tcPr>
          <w:p>
            <w:pPr>
              <w:spacing w:before="0" w:after="0"/>
              <w:jc w:val="left"/>
            </w:pPr>
            <w:r>
              <w:rPr>
                <w:b/>
                <w:color w:val="ffffff"/>
                <w:sz w:val="20"/>
              </w:rPr>
              <w:t>Component</w:t>
            </w:r>
          </w:p>
        </w:tc>
        <w:tc>
          <w:tcPr>
            <w:tcW w:w="0" w:type="auto"/>
            <w:shd w:val="clear" w:fill="002855"/>
            <w:vAlign w:val="center"/>
          </w:tcPr>
          <w:p>
            <w:pPr>
              <w:spacing w:before="0" w:after="0"/>
              <w:jc w:val="left"/>
            </w:pPr>
            <w:r>
              <w:rPr>
                <w:b/>
                <w:color w:val="ffffff"/>
                <w:sz w:val="20"/>
              </w:rPr>
              <w:t>Description</w:t>
            </w:r>
          </w:p>
        </w:tc>
      </w:tr>
      <w:tr>
        <w:trPr>
          <w:trHeight w:val="360" w:hRule="atLeast"/>
        </w:trPr>
        <w:tc>
          <w:tcPr>
            <w:tcW w:w="0" w:type="auto"/>
            <w:vAlign w:val="center"/>
          </w:tcPr>
          <w:p>
            <w:pPr>
              <w:spacing w:before="0" w:after="0"/>
              <w:jc w:val="left"/>
            </w:pPr>
            <w:r>
              <w:rPr>
                <w:color w:val="50565b"/>
                <w:sz w:val="20"/>
              </w:rPr>
              <w:t>Framework Adoption</w:t>
            </w:r>
          </w:p>
        </w:tc>
        <w:tc>
          <w:tcPr>
            <w:tcW w:w="0" w:type="auto"/>
            <w:vAlign w:val="center"/>
          </w:tcPr>
          <w:p>
            <w:pPr>
              <w:spacing w:before="0" w:after="0"/>
              <w:jc w:val="left"/>
            </w:pPr>
            <w:r>
              <w:rPr>
                <w:color w:val="50565b"/>
                <w:sz w:val="20"/>
              </w:rPr>
              <w:t>Cybersecurity framework selected and implementation status</w:t>
            </w:r>
          </w:p>
        </w:tc>
      </w:tr>
      <w:tr>
        <w:trPr>
          <w:trHeight w:val="360" w:hRule="atLeast"/>
        </w:trPr>
        <w:tc>
          <w:tcPr>
            <w:tcW w:w="0" w:type="auto"/>
            <w:vAlign w:val="center"/>
          </w:tcPr>
          <w:p>
            <w:pPr>
              <w:spacing w:before="0" w:after="0"/>
              <w:jc w:val="left"/>
            </w:pPr>
            <w:r>
              <w:rPr>
                <w:color w:val="50565b"/>
                <w:sz w:val="20"/>
              </w:rPr>
              <w:t>Risk Assessment Summary</w:t>
            </w:r>
          </w:p>
        </w:tc>
        <w:tc>
          <w:tcPr>
            <w:tcW w:w="0" w:type="auto"/>
            <w:vAlign w:val="center"/>
          </w:tcPr>
          <w:p>
            <w:pPr>
              <w:spacing w:before="0" w:after="0"/>
              <w:jc w:val="left"/>
            </w:pPr>
            <w:r>
              <w:rPr>
                <w:color w:val="50565b"/>
                <w:sz w:val="20"/>
              </w:rPr>
              <w:t>Key findings and mitigation progress</w:t>
            </w:r>
          </w:p>
        </w:tc>
      </w:tr>
      <w:tr>
        <w:trPr>
          <w:trHeight w:val="360" w:hRule="atLeast"/>
        </w:trPr>
        <w:tc>
          <w:tcPr>
            <w:tcW w:w="0" w:type="auto"/>
            <w:vAlign w:val="center"/>
          </w:tcPr>
          <w:p>
            <w:pPr>
              <w:spacing w:before="0" w:after="0"/>
              <w:jc w:val="left"/>
            </w:pPr>
            <w:r>
              <w:rPr>
                <w:color w:val="50565b"/>
                <w:sz w:val="20"/>
              </w:rPr>
              <w:t>Training Statistics</w:t>
            </w:r>
          </w:p>
        </w:tc>
        <w:tc>
          <w:tcPr>
            <w:tcW w:w="0" w:type="auto"/>
            <w:vAlign w:val="center"/>
          </w:tcPr>
          <w:p>
            <w:pPr>
              <w:spacing w:before="0" w:after="0"/>
              <w:jc w:val="left"/>
            </w:pPr>
            <w:r>
              <w:rPr>
                <w:color w:val="50565b"/>
                <w:sz w:val="20"/>
              </w:rPr>
              <w:t>Completion rates, topics covered, attendance records</w:t>
            </w:r>
          </w:p>
        </w:tc>
      </w:tr>
      <w:tr>
        <w:trPr>
          <w:trHeight w:val="360" w:hRule="atLeast"/>
        </w:trPr>
        <w:tc>
          <w:tcPr>
            <w:tcW w:w="0" w:type="auto"/>
            <w:vAlign w:val="center"/>
          </w:tcPr>
          <w:p>
            <w:pPr>
              <w:spacing w:before="0" w:after="0"/>
              <w:jc w:val="left"/>
            </w:pPr>
            <w:r>
              <w:rPr>
                <w:color w:val="50565b"/>
                <w:sz w:val="20"/>
              </w:rPr>
              <w:t>Incident Summary</w:t>
            </w:r>
          </w:p>
        </w:tc>
        <w:tc>
          <w:tcPr>
            <w:tcW w:w="0" w:type="auto"/>
            <w:vAlign w:val="center"/>
          </w:tcPr>
          <w:p>
            <w:pPr>
              <w:spacing w:before="0" w:after="0"/>
              <w:jc w:val="left"/>
            </w:pPr>
            <w:r>
              <w:rPr>
                <w:color w:val="50565b"/>
                <w:sz w:val="20"/>
              </w:rPr>
              <w:t>Incidents reported, response activities, lessons learned</w:t>
            </w:r>
          </w:p>
        </w:tc>
      </w:tr>
      <w:tr>
        <w:trPr>
          <w:trHeight w:val="360" w:hRule="atLeast"/>
        </w:trPr>
        <w:tc>
          <w:tcPr>
            <w:tcW w:w="0" w:type="auto"/>
            <w:vAlign w:val="center"/>
          </w:tcPr>
          <w:p>
            <w:pPr>
              <w:spacing w:before="0" w:after="0"/>
              <w:jc w:val="left"/>
            </w:pPr>
            <w:r>
              <w:rPr>
                <w:color w:val="50565b"/>
                <w:sz w:val="20"/>
              </w:rPr>
              <w:t>Technical Controls Status</w:t>
            </w:r>
          </w:p>
        </w:tc>
        <w:tc>
          <w:tcPr>
            <w:tcW w:w="0" w:type="auto"/>
            <w:vAlign w:val="center"/>
          </w:tcPr>
          <w:p>
            <w:pPr>
              <w:spacing w:before="0" w:after="0"/>
              <w:jc w:val="left"/>
            </w:pPr>
            <w:r>
              <w:rPr>
                <w:color w:val="50565b"/>
                <w:sz w:val="20"/>
              </w:rPr>
              <w:t>Implementation status of required controls</w:t>
            </w:r>
          </w:p>
        </w:tc>
      </w:tr>
      <w:tr>
        <w:trPr>
          <w:trHeight w:val="360" w:hRule="atLeast"/>
        </w:trPr>
        <w:tc>
          <w:tcPr>
            <w:tcW w:w="0" w:type="auto"/>
            <w:vAlign w:val="center"/>
          </w:tcPr>
          <w:p>
            <w:pPr>
              <w:spacing w:before="0" w:after="0"/>
              <w:jc w:val="left"/>
            </w:pPr>
            <w:r>
              <w:rPr>
                <w:color w:val="50565b"/>
                <w:sz w:val="20"/>
              </w:rPr>
              <w:t>Vendor Management</w:t>
            </w:r>
          </w:p>
        </w:tc>
        <w:tc>
          <w:tcPr>
            <w:tcW w:w="0" w:type="auto"/>
            <w:vAlign w:val="center"/>
          </w:tcPr>
          <w:p>
            <w:pPr>
              <w:spacing w:before="0" w:after="0"/>
              <w:jc w:val="left"/>
            </w:pPr>
            <w:r>
              <w:rPr>
                <w:color w:val="50565b"/>
                <w:sz w:val="20"/>
              </w:rPr>
              <w:t>High-risk vendors assessed, contract compliance</w:t>
            </w:r>
          </w:p>
        </w:tc>
      </w:tr>
    </w:tbl>
    <w:p>
      <w:pPr>
        <w:pStyle w:val="Heading2"/>
      </w:pPr>
      <w:r>
        <w:t>Submission Process</w:t>
      </w:r>
    </w:p>
    <w:p>
      <w:r>
        <w:t>Reports should be submitted through the USBE security portal at security.schools.utah.gov. Contact USBE Security Office for account setup and access credentials.</w:t>
      </w:r>
    </w:p>
    <w:p>
      <w:pPr>
        <w:pBdr>
          <w:left w:val="single" w:color="002855" w:sz="24"/>
        </w:pBdr>
        <w:shd w:val="clear" w:fill="e8f0f8"/>
        <w:spacing w:before="200" w:after="200"/>
        <w:ind w:left="200" w:right="200"/>
      </w:pPr>
      <w:r>
        <w:rPr>
          <w:b/>
          <w:color w:val="002855"/>
          <w:sz w:val="20"/>
        </w:rPr>
        <w:t>REPORTING TIPS</w:t>
      </w:r>
      <w:r>
        <w:br/>
      </w:r>
      <w:r>
        <w:rPr>
          <w:color w:val="50565b"/>
          <w:sz w:val="20"/>
        </w:rPr>
        <w:t>Begin compiling documentation throughout the year</w:t>
      </w:r>
      <w:r>
        <w:br/>
      </w:r>
      <w:r>
        <w:rPr>
          <w:color w:val="50565b"/>
          <w:sz w:val="20"/>
        </w:rPr>
        <w:t>Assign responsibility for report preparation by September 1</w:t>
      </w:r>
      <w:r>
        <w:br/>
      </w:r>
      <w:r>
        <w:rPr>
          <w:color w:val="50565b"/>
          <w:sz w:val="20"/>
        </w:rPr>
        <w:t>Review previous year's report for continuity</w:t>
      </w:r>
      <w:r>
        <w:br/>
      </w:r>
      <w:r>
        <w:rPr>
          <w:color w:val="50565b"/>
          <w:sz w:val="20"/>
        </w:rPr>
        <w:t>Include both accomplishments and planned improvements</w:t>
      </w:r>
    </w:p>
    <w:p>
      <w:pPr>
        <w:pStyle w:val="Heading1"/>
      </w:pPr>
      <w:bookmarkStart w:name="_Toc012" w:id="012"/>
      <w:r>
        <w:t>Implementation Checklists</w:t>
      </w:r>
      <w:bookmarkEnd w:id="012"/>
    </w:p>
    <w:p>
      <w:r>
        <w:t>Use these checklists to track your progress toward HB 44 compliance. Customize based on your organization’s size, resources, and risk profile.</w:t>
      </w:r>
    </w:p>
    <w:p>
      <w:pPr>
        <w:pStyle w:val="Heading2"/>
      </w:pPr>
      <w:r>
        <w:t>Pre-Implementation Checklist</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800"/>
        <w:gridCol w:w="9200"/>
      </w:tblGrid>
      <w:tr>
        <w:trPr>
          <w:tblHeader/>
          <w:trHeight w:val="400" w:hRule="atLeast"/>
        </w:trPr>
        <w:tc>
          <w:tcPr>
            <w:tcW w:w="0" w:type="auto"/>
            <w:shd w:val="clear" w:fill="002855"/>
            <w:vAlign w:val="center"/>
          </w:tcPr>
          <w:p>
            <w:pPr>
              <w:spacing w:before="0" w:after="0"/>
              <w:jc w:val="left"/>
            </w:pPr>
            <w:r>
              <w:rPr>
                <w:b/>
                <w:color w:val="ffffff"/>
                <w:sz w:val="20"/>
              </w:rPr>
              <w:t>☐</w:t>
            </w:r>
          </w:p>
        </w:tc>
        <w:tc>
          <w:tcPr>
            <w:tcW w:w="0" w:type="auto"/>
            <w:shd w:val="clear" w:fill="002855"/>
            <w:vAlign w:val="center"/>
          </w:tcPr>
          <w:p>
            <w:pPr>
              <w:spacing w:before="0" w:after="0"/>
              <w:jc w:val="left"/>
            </w:pPr>
            <w:r>
              <w:rPr>
                <w:b/>
                <w:color w:val="ffffff"/>
                <w:sz w:val="20"/>
              </w:rPr>
              <w:t>Task</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Form cybersecurity implementation team with executive sponsor</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Review HB 44 legislation and USBE guidance documents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Conduct initial gap analysis against required controls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Complete comprehensive asset inventory</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Identify and document all systems containing student data</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Catalog all third-party vendors with data access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Review existing cybersecurity policies and procedures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Assess current security awareness training program</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Document current incident response capabilities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Identify budget requirements for compliance</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Develop implementation project plan with timelines</w:t>
            </w:r>
          </w:p>
        </w:tc>
      </w:tr>
    </w:tbl>
    <w:p>
      <w:pPr>
        <w:pStyle w:val="Heading2"/>
      </w:pPr>
      <w:r>
        <w:t>Framework Implementation Checklist</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800"/>
        <w:gridCol w:w="9200"/>
      </w:tblGrid>
      <w:tr>
        <w:trPr>
          <w:tblHeader/>
          <w:trHeight w:val="400" w:hRule="atLeast"/>
        </w:trPr>
        <w:tc>
          <w:tcPr>
            <w:tcW w:w="0" w:type="auto"/>
            <w:shd w:val="clear" w:fill="002855"/>
            <w:vAlign w:val="center"/>
          </w:tcPr>
          <w:p>
            <w:pPr>
              <w:spacing w:before="0" w:after="0"/>
              <w:jc w:val="left"/>
            </w:pPr>
            <w:r>
              <w:rPr>
                <w:b/>
                <w:color w:val="ffffff"/>
                <w:sz w:val="20"/>
              </w:rPr>
              <w:t>☐</w:t>
            </w:r>
          </w:p>
        </w:tc>
        <w:tc>
          <w:tcPr>
            <w:tcW w:w="0" w:type="auto"/>
            <w:shd w:val="clear" w:fill="002855"/>
            <w:vAlign w:val="center"/>
          </w:tcPr>
          <w:p>
            <w:pPr>
              <w:spacing w:before="0" w:after="0"/>
              <w:jc w:val="left"/>
            </w:pPr>
            <w:r>
              <w:rPr>
                <w:b/>
                <w:color w:val="ffffff"/>
                <w:sz w:val="20"/>
              </w:rPr>
              <w:t>CIS Controls v8 IG1 Implementation</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1: Inventory and Control of Enterprise Assets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2: Inventory and Control of Software Assets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3: Data Protection</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4: Secure Configuration of Enterprise Assets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5: Account Management</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6: Access Control Management</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7: Continuous Vulnerability Management</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8: Audit Log Management</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9: Email and Web Browser Protections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10: Malware Defenses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11: Data Recovery</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12: Network Infrastructure Management</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13: Network Monitoring and Defense</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14: Security Awareness and Skills Training</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15: Service Provider Management</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16: Application Software Security</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17: Incident Response Management</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Control 18: Penetration Testing (if applicable)</w:t>
            </w:r>
          </w:p>
        </w:tc>
      </w:tr>
    </w:tbl>
    <w:p>
      <w:pPr>
        <w:pStyle w:val="Heading2"/>
      </w:pPr>
      <w:r>
        <w:t>Technical Controls Checklist</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800"/>
        <w:gridCol w:w="9200"/>
      </w:tblGrid>
      <w:tr>
        <w:trPr>
          <w:tblHeader/>
          <w:trHeight w:val="400" w:hRule="atLeast"/>
        </w:trPr>
        <w:tc>
          <w:tcPr>
            <w:tcW w:w="0" w:type="auto"/>
            <w:shd w:val="clear" w:fill="002855"/>
            <w:vAlign w:val="center"/>
          </w:tcPr>
          <w:p>
            <w:pPr>
              <w:spacing w:before="0" w:after="0"/>
              <w:jc w:val="left"/>
            </w:pPr>
            <w:r>
              <w:rPr>
                <w:b/>
                <w:color w:val="ffffff"/>
                <w:sz w:val="20"/>
              </w:rPr>
              <w:t>☐</w:t>
            </w:r>
          </w:p>
        </w:tc>
        <w:tc>
          <w:tcPr>
            <w:tcW w:w="0" w:type="auto"/>
            <w:shd w:val="clear" w:fill="002855"/>
            <w:vAlign w:val="center"/>
          </w:tcPr>
          <w:p>
            <w:pPr>
              <w:spacing w:before="0" w:after="0"/>
              <w:jc w:val="left"/>
            </w:pPr>
            <w:r>
              <w:rPr>
                <w:b/>
                <w:color w:val="ffffff"/>
                <w:sz w:val="20"/>
              </w:rPr>
              <w:t>Technical Control</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Multi-factor authentication enabled for all administrative accounts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Multi-factor authentication enabled for all staff accounts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Endpoint protection (antivirus/EDR) deployed on all devices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Automated patch management system in place</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Network segmentation between student and administrative networks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Next-generation firewall with intrusion prevention</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Email security gateway with anti-phishing protection</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Web filtering for inappropriate content and malicious sites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Encryption at rest for sensitive data</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Encryption in transit (TLS 1.2+) for all communications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Automated backup system with offline/offsite copies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Vulnerability scanning program (monthly minimum)</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Centralized logging and log retention policy</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Secure wireless network with WPA2-Enterprise or WPA3</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Guest network isolation from production networks</w:t>
            </w:r>
          </w:p>
        </w:tc>
      </w:tr>
    </w:tbl>
    <w:p>
      <w:pPr>
        <w:pStyle w:val="Heading2"/>
      </w:pPr>
      <w:r>
        <w:t>Documentation Checklist</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800"/>
        <w:gridCol w:w="9200"/>
      </w:tblGrid>
      <w:tr>
        <w:trPr>
          <w:tblHeader/>
          <w:trHeight w:val="400" w:hRule="atLeast"/>
        </w:trPr>
        <w:tc>
          <w:tcPr>
            <w:tcW w:w="0" w:type="auto"/>
            <w:shd w:val="clear" w:fill="002855"/>
            <w:vAlign w:val="center"/>
          </w:tcPr>
          <w:p>
            <w:pPr>
              <w:spacing w:before="0" w:after="0"/>
              <w:jc w:val="left"/>
            </w:pPr>
            <w:r>
              <w:rPr>
                <w:b/>
                <w:color w:val="ffffff"/>
                <w:sz w:val="20"/>
              </w:rPr>
              <w:t>☐</w:t>
            </w:r>
          </w:p>
        </w:tc>
        <w:tc>
          <w:tcPr>
            <w:tcW w:w="0" w:type="auto"/>
            <w:shd w:val="clear" w:fill="002855"/>
            <w:vAlign w:val="center"/>
          </w:tcPr>
          <w:p>
            <w:pPr>
              <w:spacing w:before="0" w:after="0"/>
              <w:jc w:val="left"/>
            </w:pPr>
            <w:r>
              <w:rPr>
                <w:b/>
                <w:color w:val="ffffff"/>
                <w:sz w:val="20"/>
              </w:rPr>
              <w:t>Required Documentation</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Cybersecurity policy and governance framework</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Acceptable use policy for staff</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Student acceptable use policy</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Data classification and handling procedures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Incident response plan and procedures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Breach notification procedures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Risk assessment report (annual)</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Risk register with mitigation plans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Security awareness training program documentation</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Training completion records for all staff</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Vendor security assessment procedures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Vendor security assessment records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Data processing agreements with vendors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Network architecture documentation</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System configuration standards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Backup and recovery procedures</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Business continuity/disaster recovery plan</w:t>
            </w:r>
          </w:p>
        </w:tc>
      </w:tr>
      <w:tr>
        <w:trPr>
          <w:trHeight w:val="360" w:hRule="atLeast"/>
        </w:trPr>
        <w:tc>
          <w:tcPr>
            <w:tcW w:w="800" w:type="dxa"/>
            <w:vAlign w:val="center"/>
          </w:tcPr>
          <w:p>
            <w:pPr>
              <w:spacing w:before="0" w:after="0"/>
              <w:jc w:val="center"/>
            </w:pPr>
            <w:r>
              <w:rPr>
                <w:color w:val="7caf2e"/>
                <w:sz w:val="22"/>
              </w:rPr>
              <w:t>☐</w:t>
            </w:r>
          </w:p>
        </w:tc>
        <w:tc>
          <w:tcPr>
            <w:tcW w:w="9200" w:type="dxa"/>
            <w:vAlign w:val="center"/>
          </w:tcPr>
          <w:p>
            <w:pPr>
              <w:spacing w:before="0" w:after="0"/>
              <w:jc w:val="left"/>
            </w:pPr>
            <w:r>
              <w:rPr>
                <w:color w:val="50565b"/>
                <w:sz w:val="20"/>
              </w:rPr>
              <w:t>Annual compliance report to USBE</w:t>
            </w:r>
          </w:p>
        </w:tc>
      </w:tr>
    </w:tbl>
    <w:p>
      <w:pPr>
        <w:pStyle w:val="Heading1"/>
      </w:pPr>
      <w:bookmarkStart w:name="_Toc013" w:id="013"/>
      <w:r>
        <w:t>Sample Templates</w:t>
      </w:r>
      <w:bookmarkEnd w:id="013"/>
    </w:p>
    <w:p>
      <w:r>
        <w:t>These templates provide starting points for developing your organization's cybersecurity documentation. Customize to fit your specific needs and environment.</w:t>
      </w:r>
    </w:p>
    <w:p>
      <w:pPr>
        <w:pStyle w:val="Heading2"/>
      </w:pPr>
      <w:r>
        <w:t>Template 1: Incident Response Plan Outline</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2500"/>
        <w:gridCol w:w="7500"/>
      </w:tblGrid>
      <w:tr>
        <w:trPr>
          <w:tblHeader/>
          <w:trHeight w:val="400" w:hRule="atLeast"/>
        </w:trPr>
        <w:tc>
          <w:tcPr>
            <w:tcW w:w="0" w:type="auto"/>
            <w:shd w:val="clear" w:fill="002855"/>
            <w:vAlign w:val="center"/>
          </w:tcPr>
          <w:p>
            <w:pPr>
              <w:spacing w:before="0" w:after="0"/>
              <w:jc w:val="left"/>
            </w:pPr>
            <w:r>
              <w:rPr>
                <w:b/>
                <w:color w:val="ffffff"/>
                <w:sz w:val="20"/>
              </w:rPr>
              <w:t>Section</w:t>
            </w:r>
          </w:p>
        </w:tc>
        <w:tc>
          <w:tcPr>
            <w:tcW w:w="0" w:type="auto"/>
            <w:shd w:val="clear" w:fill="002855"/>
            <w:vAlign w:val="center"/>
          </w:tcPr>
          <w:p>
            <w:pPr>
              <w:spacing w:before="0" w:after="0"/>
              <w:jc w:val="left"/>
            </w:pPr>
            <w:r>
              <w:rPr>
                <w:b/>
                <w:color w:val="ffffff"/>
                <w:sz w:val="20"/>
              </w:rPr>
              <w:t>Content Outline</w:t>
            </w:r>
          </w:p>
        </w:tc>
      </w:tr>
      <w:tr>
        <w:trPr>
          <w:trHeight w:val="360" w:hRule="atLeast"/>
        </w:trPr>
        <w:tc>
          <w:tcPr>
            <w:tcW w:w="0" w:type="auto"/>
            <w:vAlign w:val="center"/>
          </w:tcPr>
          <w:p>
            <w:pPr>
              <w:spacing w:before="0" w:after="0"/>
              <w:jc w:val="left"/>
            </w:pPr>
            <w:r>
              <w:rPr>
                <w:b/>
                <w:color w:val="002855"/>
                <w:sz w:val="20"/>
              </w:rPr>
              <w:t>1. Purpose &amp; Scope</w:t>
            </w:r>
          </w:p>
        </w:tc>
        <w:tc>
          <w:tcPr>
            <w:tcW w:w="0" w:type="auto"/>
            <w:vAlign w:val="center"/>
          </w:tcPr>
          <w:p>
            <w:pPr>
              <w:spacing w:before="0" w:after="0"/>
              <w:jc w:val="left"/>
            </w:pPr>
            <w:r>
              <w:rPr>
                <w:color w:val="50565b"/>
                <w:sz w:val="20"/>
              </w:rPr>
              <w:t>Define objectives, scope of coverage, and authority</w:t>
            </w:r>
          </w:p>
        </w:tc>
      </w:tr>
      <w:tr>
        <w:trPr>
          <w:trHeight w:val="360" w:hRule="atLeast"/>
        </w:trPr>
        <w:tc>
          <w:tcPr>
            <w:tcW w:w="0" w:type="auto"/>
            <w:vAlign w:val="center"/>
          </w:tcPr>
          <w:p>
            <w:pPr>
              <w:spacing w:before="0" w:after="0"/>
              <w:jc w:val="left"/>
            </w:pPr>
            <w:r>
              <w:rPr>
                <w:b/>
                <w:color w:val="002855"/>
                <w:sz w:val="20"/>
              </w:rPr>
              <w:t>2. Definitions</w:t>
            </w:r>
          </w:p>
        </w:tc>
        <w:tc>
          <w:tcPr>
            <w:tcW w:w="0" w:type="auto"/>
            <w:vAlign w:val="center"/>
          </w:tcPr>
          <w:p>
            <w:pPr>
              <w:spacing w:before="0" w:after="0"/>
              <w:jc w:val="left"/>
            </w:pPr>
            <w:r>
              <w:rPr>
                <w:color w:val="50565b"/>
                <w:sz w:val="20"/>
              </w:rPr>
              <w:t>Incident types, severity levels, key terms</w:t>
            </w:r>
          </w:p>
        </w:tc>
      </w:tr>
      <w:tr>
        <w:trPr>
          <w:trHeight w:val="360" w:hRule="atLeast"/>
        </w:trPr>
        <w:tc>
          <w:tcPr>
            <w:tcW w:w="0" w:type="auto"/>
            <w:vAlign w:val="center"/>
          </w:tcPr>
          <w:p>
            <w:pPr>
              <w:spacing w:before="0" w:after="0"/>
              <w:jc w:val="left"/>
            </w:pPr>
            <w:r>
              <w:rPr>
                <w:b/>
                <w:color w:val="002855"/>
                <w:sz w:val="20"/>
              </w:rPr>
              <w:t>3. Roles &amp; Responsibilities</w:t>
            </w:r>
          </w:p>
        </w:tc>
        <w:tc>
          <w:tcPr>
            <w:tcW w:w="0" w:type="auto"/>
            <w:vAlign w:val="center"/>
          </w:tcPr>
          <w:p>
            <w:pPr>
              <w:spacing w:before="0" w:after="0"/>
              <w:jc w:val="left"/>
            </w:pPr>
            <w:r>
              <w:rPr>
                <w:color w:val="50565b"/>
                <w:sz w:val="20"/>
              </w:rPr>
              <w:t>IRT members, contact info, escalation paths</w:t>
            </w:r>
          </w:p>
        </w:tc>
      </w:tr>
      <w:tr>
        <w:trPr>
          <w:trHeight w:val="360" w:hRule="atLeast"/>
        </w:trPr>
        <w:tc>
          <w:tcPr>
            <w:tcW w:w="0" w:type="auto"/>
            <w:vAlign w:val="center"/>
          </w:tcPr>
          <w:p>
            <w:pPr>
              <w:spacing w:before="0" w:after="0"/>
              <w:jc w:val="left"/>
            </w:pPr>
            <w:r>
              <w:rPr>
                <w:b/>
                <w:color w:val="002855"/>
                <w:sz w:val="20"/>
              </w:rPr>
              <w:t>4. Incident Classification</w:t>
            </w:r>
          </w:p>
        </w:tc>
        <w:tc>
          <w:tcPr>
            <w:tcW w:w="0" w:type="auto"/>
            <w:vAlign w:val="center"/>
          </w:tcPr>
          <w:p>
            <w:pPr>
              <w:spacing w:before="0" w:after="0"/>
              <w:jc w:val="left"/>
            </w:pPr>
            <w:r>
              <w:rPr>
                <w:color w:val="50565b"/>
                <w:sz w:val="20"/>
              </w:rPr>
              <w:t>Criteria for categorizing incidents by type/severity</w:t>
            </w:r>
          </w:p>
        </w:tc>
      </w:tr>
      <w:tr>
        <w:trPr>
          <w:trHeight w:val="360" w:hRule="atLeast"/>
        </w:trPr>
        <w:tc>
          <w:tcPr>
            <w:tcW w:w="0" w:type="auto"/>
            <w:vAlign w:val="center"/>
          </w:tcPr>
          <w:p>
            <w:pPr>
              <w:spacing w:before="0" w:after="0"/>
              <w:jc w:val="left"/>
            </w:pPr>
            <w:r>
              <w:rPr>
                <w:b/>
                <w:color w:val="002855"/>
                <w:sz w:val="20"/>
              </w:rPr>
              <w:t>5. Detection &amp; Reporting</w:t>
            </w:r>
          </w:p>
        </w:tc>
        <w:tc>
          <w:tcPr>
            <w:tcW w:w="0" w:type="auto"/>
            <w:vAlign w:val="center"/>
          </w:tcPr>
          <w:p>
            <w:pPr>
              <w:spacing w:before="0" w:after="0"/>
              <w:jc w:val="left"/>
            </w:pPr>
            <w:r>
              <w:rPr>
                <w:color w:val="50565b"/>
                <w:sz w:val="20"/>
              </w:rPr>
              <w:t>How incidents are identified and reported</w:t>
            </w:r>
          </w:p>
        </w:tc>
      </w:tr>
      <w:tr>
        <w:trPr>
          <w:trHeight w:val="360" w:hRule="atLeast"/>
        </w:trPr>
        <w:tc>
          <w:tcPr>
            <w:tcW w:w="0" w:type="auto"/>
            <w:vAlign w:val="center"/>
          </w:tcPr>
          <w:p>
            <w:pPr>
              <w:spacing w:before="0" w:after="0"/>
              <w:jc w:val="left"/>
            </w:pPr>
            <w:r>
              <w:rPr>
                <w:b/>
                <w:color w:val="002855"/>
                <w:sz w:val="20"/>
              </w:rPr>
              <w:t>6. Response Procedures</w:t>
            </w:r>
          </w:p>
        </w:tc>
        <w:tc>
          <w:tcPr>
            <w:tcW w:w="0" w:type="auto"/>
            <w:vAlign w:val="center"/>
          </w:tcPr>
          <w:p>
            <w:pPr>
              <w:spacing w:before="0" w:after="0"/>
              <w:jc w:val="left"/>
            </w:pPr>
            <w:r>
              <w:rPr>
                <w:color w:val="50565b"/>
                <w:sz w:val="20"/>
              </w:rPr>
              <w:t>Step-by-step actions for each incident type</w:t>
            </w:r>
          </w:p>
        </w:tc>
      </w:tr>
      <w:tr>
        <w:trPr>
          <w:trHeight w:val="360" w:hRule="atLeast"/>
        </w:trPr>
        <w:tc>
          <w:tcPr>
            <w:tcW w:w="0" w:type="auto"/>
            <w:vAlign w:val="center"/>
          </w:tcPr>
          <w:p>
            <w:pPr>
              <w:spacing w:before="0" w:after="0"/>
              <w:jc w:val="left"/>
            </w:pPr>
            <w:r>
              <w:rPr>
                <w:b/>
                <w:color w:val="002855"/>
                <w:sz w:val="20"/>
              </w:rPr>
              <w:t>7. Communication Plan</w:t>
            </w:r>
          </w:p>
        </w:tc>
        <w:tc>
          <w:tcPr>
            <w:tcW w:w="0" w:type="auto"/>
            <w:vAlign w:val="center"/>
          </w:tcPr>
          <w:p>
            <w:pPr>
              <w:spacing w:before="0" w:after="0"/>
              <w:jc w:val="left"/>
            </w:pPr>
            <w:r>
              <w:rPr>
                <w:color w:val="50565b"/>
                <w:sz w:val="20"/>
              </w:rPr>
              <w:t>Internal notifications, external communications</w:t>
            </w:r>
          </w:p>
        </w:tc>
      </w:tr>
      <w:tr>
        <w:trPr>
          <w:trHeight w:val="360" w:hRule="atLeast"/>
        </w:trPr>
        <w:tc>
          <w:tcPr>
            <w:tcW w:w="0" w:type="auto"/>
            <w:vAlign w:val="center"/>
          </w:tcPr>
          <w:p>
            <w:pPr>
              <w:spacing w:before="0" w:after="0"/>
              <w:jc w:val="left"/>
            </w:pPr>
            <w:r>
              <w:rPr>
                <w:b/>
                <w:color w:val="002855"/>
                <w:sz w:val="20"/>
              </w:rPr>
              <w:t>8. Evidence Handling</w:t>
            </w:r>
          </w:p>
        </w:tc>
        <w:tc>
          <w:tcPr>
            <w:tcW w:w="0" w:type="auto"/>
            <w:vAlign w:val="center"/>
          </w:tcPr>
          <w:p>
            <w:pPr>
              <w:spacing w:before="0" w:after="0"/>
              <w:jc w:val="left"/>
            </w:pPr>
            <w:r>
              <w:rPr>
                <w:color w:val="50565b"/>
                <w:sz w:val="20"/>
              </w:rPr>
              <w:t>Preservation procedures, chain of custody</w:t>
            </w:r>
          </w:p>
        </w:tc>
      </w:tr>
      <w:tr>
        <w:trPr>
          <w:trHeight w:val="360" w:hRule="atLeast"/>
        </w:trPr>
        <w:tc>
          <w:tcPr>
            <w:tcW w:w="0" w:type="auto"/>
            <w:vAlign w:val="center"/>
          </w:tcPr>
          <w:p>
            <w:pPr>
              <w:spacing w:before="0" w:after="0"/>
              <w:jc w:val="left"/>
            </w:pPr>
            <w:r>
              <w:rPr>
                <w:b/>
                <w:color w:val="002855"/>
                <w:sz w:val="20"/>
              </w:rPr>
              <w:t>9. Containment Strategies</w:t>
            </w:r>
          </w:p>
        </w:tc>
        <w:tc>
          <w:tcPr>
            <w:tcW w:w="0" w:type="auto"/>
            <w:vAlign w:val="center"/>
          </w:tcPr>
          <w:p>
            <w:pPr>
              <w:spacing w:before="0" w:after="0"/>
              <w:jc w:val="left"/>
            </w:pPr>
            <w:r>
              <w:rPr>
                <w:color w:val="50565b"/>
                <w:sz w:val="20"/>
              </w:rPr>
              <w:t>Short-term and long-term containment actions</w:t>
            </w:r>
          </w:p>
        </w:tc>
      </w:tr>
      <w:tr>
        <w:trPr>
          <w:trHeight w:val="360" w:hRule="atLeast"/>
        </w:trPr>
        <w:tc>
          <w:tcPr>
            <w:tcW w:w="0" w:type="auto"/>
            <w:vAlign w:val="center"/>
          </w:tcPr>
          <w:p>
            <w:pPr>
              <w:spacing w:before="0" w:after="0"/>
              <w:jc w:val="left"/>
            </w:pPr>
            <w:r>
              <w:rPr>
                <w:b/>
                <w:color w:val="002855"/>
                <w:sz w:val="20"/>
              </w:rPr>
              <w:t>10. Eradication &amp; Recovery</w:t>
            </w:r>
          </w:p>
        </w:tc>
        <w:tc>
          <w:tcPr>
            <w:tcW w:w="0" w:type="auto"/>
            <w:vAlign w:val="center"/>
          </w:tcPr>
          <w:p>
            <w:pPr>
              <w:spacing w:before="0" w:after="0"/>
              <w:jc w:val="left"/>
            </w:pPr>
            <w:r>
              <w:rPr>
                <w:color w:val="50565b"/>
                <w:sz w:val="20"/>
              </w:rPr>
              <w:t>Removing threats and restoring operations</w:t>
            </w:r>
          </w:p>
        </w:tc>
      </w:tr>
      <w:tr>
        <w:trPr>
          <w:trHeight w:val="360" w:hRule="atLeast"/>
        </w:trPr>
        <w:tc>
          <w:tcPr>
            <w:tcW w:w="0" w:type="auto"/>
            <w:vAlign w:val="center"/>
          </w:tcPr>
          <w:p>
            <w:pPr>
              <w:spacing w:before="0" w:after="0"/>
              <w:jc w:val="left"/>
            </w:pPr>
            <w:r>
              <w:rPr>
                <w:b/>
                <w:color w:val="002855"/>
                <w:sz w:val="20"/>
              </w:rPr>
              <w:t>11. Post-Incident Activity</w:t>
            </w:r>
          </w:p>
        </w:tc>
        <w:tc>
          <w:tcPr>
            <w:tcW w:w="0" w:type="auto"/>
            <w:vAlign w:val="center"/>
          </w:tcPr>
          <w:p>
            <w:pPr>
              <w:spacing w:before="0" w:after="0"/>
              <w:jc w:val="left"/>
            </w:pPr>
            <w:r>
              <w:rPr>
                <w:color w:val="50565b"/>
                <w:sz w:val="20"/>
              </w:rPr>
              <w:t>Lessons learned, report template, follow-up</w:t>
            </w:r>
          </w:p>
        </w:tc>
      </w:tr>
      <w:tr>
        <w:trPr>
          <w:trHeight w:val="360" w:hRule="atLeast"/>
        </w:trPr>
        <w:tc>
          <w:tcPr>
            <w:tcW w:w="0" w:type="auto"/>
            <w:vAlign w:val="center"/>
          </w:tcPr>
          <w:p>
            <w:pPr>
              <w:spacing w:before="0" w:after="0"/>
              <w:jc w:val="left"/>
            </w:pPr>
            <w:r>
              <w:rPr>
                <w:b/>
                <w:color w:val="002855"/>
                <w:sz w:val="20"/>
              </w:rPr>
              <w:t>12. Appendices</w:t>
            </w:r>
          </w:p>
        </w:tc>
        <w:tc>
          <w:tcPr>
            <w:tcW w:w="0" w:type="auto"/>
            <w:vAlign w:val="center"/>
          </w:tcPr>
          <w:p>
            <w:pPr>
              <w:spacing w:before="0" w:after="0"/>
              <w:jc w:val="left"/>
            </w:pPr>
            <w:r>
              <w:rPr>
                <w:color w:val="50565b"/>
                <w:sz w:val="20"/>
              </w:rPr>
              <w:t>Contact lists, forms, reference materials</w:t>
            </w:r>
          </w:p>
        </w:tc>
      </w:tr>
    </w:tbl>
    <w:p>
      <w:pPr>
        <w:pStyle w:val="Heading2"/>
      </w:pPr>
      <w:r>
        <w:t>Template 2: Vendor Security Assessment</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4000"/>
        <w:gridCol w:w="2000"/>
        <w:gridCol w:w="4000"/>
      </w:tblGrid>
      <w:tr>
        <w:trPr>
          <w:tblHeader/>
          <w:trHeight w:val="400" w:hRule="atLeast"/>
        </w:trPr>
        <w:tc>
          <w:tcPr>
            <w:tcW w:w="0" w:type="auto"/>
            <w:shd w:val="clear" w:fill="002855"/>
            <w:vAlign w:val="center"/>
          </w:tcPr>
          <w:p>
            <w:pPr>
              <w:spacing w:before="0" w:after="0"/>
              <w:jc w:val="left"/>
            </w:pPr>
            <w:r>
              <w:rPr>
                <w:b/>
                <w:color w:val="ffffff"/>
                <w:sz w:val="20"/>
              </w:rPr>
              <w:t>Assessment Area</w:t>
            </w:r>
          </w:p>
        </w:tc>
        <w:tc>
          <w:tcPr>
            <w:tcW w:w="0" w:type="auto"/>
            <w:shd w:val="clear" w:fill="002855"/>
            <w:vAlign w:val="center"/>
          </w:tcPr>
          <w:p>
            <w:pPr>
              <w:spacing w:before="0" w:after="0"/>
              <w:jc w:val="left"/>
            </w:pPr>
            <w:r>
              <w:rPr>
                <w:b/>
                <w:color w:val="ffffff"/>
                <w:sz w:val="20"/>
              </w:rPr>
              <w:t>Response</w:t>
            </w:r>
          </w:p>
        </w:tc>
        <w:tc>
          <w:tcPr>
            <w:tcW w:w="0" w:type="auto"/>
            <w:shd w:val="clear" w:fill="002855"/>
            <w:vAlign w:val="center"/>
          </w:tcPr>
          <w:p>
            <w:pPr>
              <w:spacing w:before="0" w:after="0"/>
              <w:jc w:val="left"/>
            </w:pPr>
            <w:r>
              <w:rPr>
                <w:b/>
                <w:color w:val="ffffff"/>
                <w:sz w:val="20"/>
              </w:rPr>
              <w:t>Notes</w:t>
            </w:r>
          </w:p>
        </w:tc>
      </w:tr>
      <w:tr>
        <w:trPr>
          <w:trHeight w:val="360" w:hRule="atLeast"/>
        </w:trPr>
        <w:tc>
          <w:tcPr>
            <w:tcW w:w="0" w:type="auto"/>
            <w:vAlign w:val="center"/>
          </w:tcPr>
          <w:p>
            <w:pPr>
              <w:spacing w:before="0" w:after="0"/>
              <w:jc w:val="left"/>
            </w:pPr>
            <w:r>
              <w:rPr>
                <w:b/>
                <w:color w:val="002855"/>
                <w:sz w:val="20"/>
              </w:rPr>
              <w:t>Does vendor have written security policies?</w:t>
            </w:r>
          </w:p>
        </w:tc>
        <w:tc>
          <w:tcPr>
            <w:tcW w:w="0" w:type="auto"/>
            <w:vAlign w:val="center"/>
          </w:tcPr>
          <w:p>
            <w:pPr>
              <w:spacing w:before="0" w:after="0"/>
              <w:jc w:val="left"/>
            </w:pPr>
            <w:r>
              <w:rPr>
                <w:color w:val="50565b"/>
                <w:sz w:val="20"/>
              </w:rPr>
              <w:t>Yes/No/NA</w:t>
            </w:r>
          </w:p>
        </w:tc>
        <w:tc>
          <w:tcPr>
            <w:tcW w:w="0" w:type="auto"/>
            <w:vAlign w:val="center"/>
          </w:tcPr>
          <w:p>
            <w:pPr>
              <w:spacing w:before="0" w:after="0"/>
              <w:jc w:val="left"/>
            </w:pPr>
            <w:r>
              <w:rPr>
                <w:color w:val="50565b"/>
                <w:sz w:val="20"/>
              </w:rPr>
              <w:t/>
            </w:r>
          </w:p>
        </w:tc>
      </w:tr>
      <w:tr>
        <w:trPr>
          <w:trHeight w:val="360" w:hRule="atLeast"/>
        </w:trPr>
        <w:tc>
          <w:tcPr>
            <w:tcW w:w="0" w:type="auto"/>
            <w:vAlign w:val="center"/>
          </w:tcPr>
          <w:p>
            <w:pPr>
              <w:spacing w:before="0" w:after="0"/>
              <w:jc w:val="left"/>
            </w:pPr>
            <w:r>
              <w:rPr>
                <w:b/>
                <w:color w:val="002855"/>
                <w:sz w:val="20"/>
              </w:rPr>
              <w:t>Has vendor completed SOC 2 or ISO 27001 audit?</w:t>
            </w:r>
          </w:p>
        </w:tc>
        <w:tc>
          <w:tcPr>
            <w:tcW w:w="0" w:type="auto"/>
            <w:vAlign w:val="center"/>
          </w:tcPr>
          <w:p>
            <w:pPr>
              <w:spacing w:before="0" w:after="0"/>
              <w:jc w:val="left"/>
            </w:pPr>
            <w:r>
              <w:rPr>
                <w:color w:val="50565b"/>
                <w:sz w:val="20"/>
              </w:rPr>
              <w:t>Yes/No/NA</w:t>
            </w:r>
          </w:p>
        </w:tc>
        <w:tc>
          <w:tcPr>
            <w:tcW w:w="0" w:type="auto"/>
            <w:vAlign w:val="center"/>
          </w:tcPr>
          <w:p>
            <w:pPr>
              <w:spacing w:before="0" w:after="0"/>
              <w:jc w:val="left"/>
            </w:pPr>
            <w:r>
              <w:rPr>
                <w:color w:val="50565b"/>
                <w:sz w:val="20"/>
              </w:rPr>
              <w:t>Request report</w:t>
            </w:r>
          </w:p>
        </w:tc>
      </w:tr>
      <w:tr>
        <w:trPr>
          <w:trHeight w:val="360" w:hRule="atLeast"/>
        </w:trPr>
        <w:tc>
          <w:tcPr>
            <w:tcW w:w="0" w:type="auto"/>
            <w:vAlign w:val="center"/>
          </w:tcPr>
          <w:p>
            <w:pPr>
              <w:spacing w:before="0" w:after="0"/>
              <w:jc w:val="left"/>
            </w:pPr>
            <w:r>
              <w:rPr>
                <w:b/>
                <w:color w:val="002855"/>
                <w:sz w:val="20"/>
              </w:rPr>
              <w:t>Does vendor encrypt data at rest?</w:t>
            </w:r>
          </w:p>
        </w:tc>
        <w:tc>
          <w:tcPr>
            <w:tcW w:w="0" w:type="auto"/>
            <w:vAlign w:val="center"/>
          </w:tcPr>
          <w:p>
            <w:pPr>
              <w:spacing w:before="0" w:after="0"/>
              <w:jc w:val="left"/>
            </w:pPr>
            <w:r>
              <w:rPr>
                <w:color w:val="50565b"/>
                <w:sz w:val="20"/>
              </w:rPr>
              <w:t>Yes/No/NA</w:t>
            </w:r>
          </w:p>
        </w:tc>
        <w:tc>
          <w:tcPr>
            <w:tcW w:w="0" w:type="auto"/>
            <w:vAlign w:val="center"/>
          </w:tcPr>
          <w:p>
            <w:pPr>
              <w:spacing w:before="0" w:after="0"/>
              <w:jc w:val="left"/>
            </w:pPr>
            <w:r>
              <w:rPr>
                <w:color w:val="50565b"/>
                <w:sz w:val="20"/>
              </w:rPr>
              <w:t>Specify encryption type</w:t>
            </w:r>
          </w:p>
        </w:tc>
      </w:tr>
      <w:tr>
        <w:trPr>
          <w:trHeight w:val="360" w:hRule="atLeast"/>
        </w:trPr>
        <w:tc>
          <w:tcPr>
            <w:tcW w:w="0" w:type="auto"/>
            <w:vAlign w:val="center"/>
          </w:tcPr>
          <w:p>
            <w:pPr>
              <w:spacing w:before="0" w:after="0"/>
              <w:jc w:val="left"/>
            </w:pPr>
            <w:r>
              <w:rPr>
                <w:b/>
                <w:color w:val="002855"/>
                <w:sz w:val="20"/>
              </w:rPr>
              <w:t>Does vendor encrypt data in transit?</w:t>
            </w:r>
          </w:p>
        </w:tc>
        <w:tc>
          <w:tcPr>
            <w:tcW w:w="0" w:type="auto"/>
            <w:vAlign w:val="center"/>
          </w:tcPr>
          <w:p>
            <w:pPr>
              <w:spacing w:before="0" w:after="0"/>
              <w:jc w:val="left"/>
            </w:pPr>
            <w:r>
              <w:rPr>
                <w:color w:val="50565b"/>
                <w:sz w:val="20"/>
              </w:rPr>
              <w:t>Yes/No/NA</w:t>
            </w:r>
          </w:p>
        </w:tc>
        <w:tc>
          <w:tcPr>
            <w:tcW w:w="0" w:type="auto"/>
            <w:vAlign w:val="center"/>
          </w:tcPr>
          <w:p>
            <w:pPr>
              <w:spacing w:before="0" w:after="0"/>
              <w:jc w:val="left"/>
            </w:pPr>
            <w:r>
              <w:rPr>
                <w:color w:val="50565b"/>
                <w:sz w:val="20"/>
              </w:rPr>
              <w:t>Specify TLS version</w:t>
            </w:r>
          </w:p>
        </w:tc>
      </w:tr>
      <w:tr>
        <w:trPr>
          <w:trHeight w:val="360" w:hRule="atLeast"/>
        </w:trPr>
        <w:tc>
          <w:tcPr>
            <w:tcW w:w="0" w:type="auto"/>
            <w:vAlign w:val="center"/>
          </w:tcPr>
          <w:p>
            <w:pPr>
              <w:spacing w:before="0" w:after="0"/>
              <w:jc w:val="left"/>
            </w:pPr>
            <w:r>
              <w:rPr>
                <w:b/>
                <w:color w:val="002855"/>
                <w:sz w:val="20"/>
              </w:rPr>
              <w:t>Does vendor have incident response plan?</w:t>
            </w:r>
          </w:p>
        </w:tc>
        <w:tc>
          <w:tcPr>
            <w:tcW w:w="0" w:type="auto"/>
            <w:vAlign w:val="center"/>
          </w:tcPr>
          <w:p>
            <w:pPr>
              <w:spacing w:before="0" w:after="0"/>
              <w:jc w:val="left"/>
            </w:pPr>
            <w:r>
              <w:rPr>
                <w:color w:val="50565b"/>
                <w:sz w:val="20"/>
              </w:rPr>
              <w:t>Yes/No/NA</w:t>
            </w:r>
          </w:p>
        </w:tc>
        <w:tc>
          <w:tcPr>
            <w:tcW w:w="0" w:type="auto"/>
            <w:vAlign w:val="center"/>
          </w:tcPr>
          <w:p>
            <w:pPr>
              <w:spacing w:before="0" w:after="0"/>
              <w:jc w:val="left"/>
            </w:pPr>
            <w:r>
              <w:rPr>
                <w:color w:val="50565b"/>
                <w:sz w:val="20"/>
              </w:rPr>
              <w:t>Request summary</w:t>
            </w:r>
          </w:p>
        </w:tc>
      </w:tr>
      <w:tr>
        <w:trPr>
          <w:trHeight w:val="360" w:hRule="atLeast"/>
        </w:trPr>
        <w:tc>
          <w:tcPr>
            <w:tcW w:w="0" w:type="auto"/>
            <w:vAlign w:val="center"/>
          </w:tcPr>
          <w:p>
            <w:pPr>
              <w:spacing w:before="0" w:after="0"/>
              <w:jc w:val="left"/>
            </w:pPr>
            <w:r>
              <w:rPr>
                <w:b/>
                <w:color w:val="002855"/>
                <w:sz w:val="20"/>
              </w:rPr>
              <w:t>Does vendor conduct background checks?</w:t>
            </w:r>
          </w:p>
        </w:tc>
        <w:tc>
          <w:tcPr>
            <w:tcW w:w="0" w:type="auto"/>
            <w:vAlign w:val="center"/>
          </w:tcPr>
          <w:p>
            <w:pPr>
              <w:spacing w:before="0" w:after="0"/>
              <w:jc w:val="left"/>
            </w:pPr>
            <w:r>
              <w:rPr>
                <w:color w:val="50565b"/>
                <w:sz w:val="20"/>
              </w:rPr>
              <w:t>Yes/No/NA</w:t>
            </w:r>
          </w:p>
        </w:tc>
        <w:tc>
          <w:tcPr>
            <w:tcW w:w="0" w:type="auto"/>
            <w:vAlign w:val="center"/>
          </w:tcPr>
          <w:p>
            <w:pPr>
              <w:spacing w:before="0" w:after="0"/>
              <w:jc w:val="left"/>
            </w:pPr>
            <w:r>
              <w:rPr>
                <w:color w:val="50565b"/>
                <w:sz w:val="20"/>
              </w:rPr>
              <w:t/>
            </w:r>
          </w:p>
        </w:tc>
      </w:tr>
      <w:tr>
        <w:trPr>
          <w:trHeight w:val="360" w:hRule="atLeast"/>
        </w:trPr>
        <w:tc>
          <w:tcPr>
            <w:tcW w:w="0" w:type="auto"/>
            <w:vAlign w:val="center"/>
          </w:tcPr>
          <w:p>
            <w:pPr>
              <w:spacing w:before="0" w:after="0"/>
              <w:jc w:val="left"/>
            </w:pPr>
            <w:r>
              <w:rPr>
                <w:b/>
                <w:color w:val="002855"/>
                <w:sz w:val="20"/>
              </w:rPr>
              <w:t>Does vendor have data retention policy?</w:t>
            </w:r>
          </w:p>
        </w:tc>
        <w:tc>
          <w:tcPr>
            <w:tcW w:w="0" w:type="auto"/>
            <w:vAlign w:val="center"/>
          </w:tcPr>
          <w:p>
            <w:pPr>
              <w:spacing w:before="0" w:after="0"/>
              <w:jc w:val="left"/>
            </w:pPr>
            <w:r>
              <w:rPr>
                <w:color w:val="50565b"/>
                <w:sz w:val="20"/>
              </w:rPr>
              <w:t>Yes/No/NA</w:t>
            </w:r>
          </w:p>
        </w:tc>
        <w:tc>
          <w:tcPr>
            <w:tcW w:w="0" w:type="auto"/>
            <w:vAlign w:val="center"/>
          </w:tcPr>
          <w:p>
            <w:pPr>
              <w:spacing w:before="0" w:after="0"/>
              <w:jc w:val="left"/>
            </w:pPr>
            <w:r>
              <w:rPr>
                <w:color w:val="50565b"/>
                <w:sz w:val="20"/>
              </w:rPr>
              <w:t>Specify retention period</w:t>
            </w:r>
          </w:p>
        </w:tc>
      </w:tr>
      <w:tr>
        <w:trPr>
          <w:trHeight w:val="360" w:hRule="atLeast"/>
        </w:trPr>
        <w:tc>
          <w:tcPr>
            <w:tcW w:w="0" w:type="auto"/>
            <w:vAlign w:val="center"/>
          </w:tcPr>
          <w:p>
            <w:pPr>
              <w:spacing w:before="0" w:after="0"/>
              <w:jc w:val="left"/>
            </w:pPr>
            <w:r>
              <w:rPr>
                <w:b/>
                <w:color w:val="002855"/>
                <w:sz w:val="20"/>
              </w:rPr>
              <w:t>Does vendor have breach notification procedures?</w:t>
            </w:r>
          </w:p>
        </w:tc>
        <w:tc>
          <w:tcPr>
            <w:tcW w:w="0" w:type="auto"/>
            <w:vAlign w:val="center"/>
          </w:tcPr>
          <w:p>
            <w:pPr>
              <w:spacing w:before="0" w:after="0"/>
              <w:jc w:val="left"/>
            </w:pPr>
            <w:r>
              <w:rPr>
                <w:color w:val="50565b"/>
                <w:sz w:val="20"/>
              </w:rPr>
              <w:t>Yes/No/NA</w:t>
            </w:r>
          </w:p>
        </w:tc>
        <w:tc>
          <w:tcPr>
            <w:tcW w:w="0" w:type="auto"/>
            <w:vAlign w:val="center"/>
          </w:tcPr>
          <w:p>
            <w:pPr>
              <w:spacing w:before="0" w:after="0"/>
              <w:jc w:val="left"/>
            </w:pPr>
            <w:r>
              <w:rPr>
                <w:color w:val="50565b"/>
                <w:sz w:val="20"/>
              </w:rPr>
              <w:t>Specify timeline</w:t>
            </w:r>
          </w:p>
        </w:tc>
      </w:tr>
      <w:tr>
        <w:trPr>
          <w:trHeight w:val="360" w:hRule="atLeast"/>
        </w:trPr>
        <w:tc>
          <w:tcPr>
            <w:tcW w:w="0" w:type="auto"/>
            <w:vAlign w:val="center"/>
          </w:tcPr>
          <w:p>
            <w:pPr>
              <w:spacing w:before="0" w:after="0"/>
              <w:jc w:val="left"/>
            </w:pPr>
            <w:r>
              <w:rPr>
                <w:b/>
                <w:color w:val="002855"/>
                <w:sz w:val="20"/>
              </w:rPr>
              <w:t>Does vendor use subcontractors?</w:t>
            </w:r>
          </w:p>
        </w:tc>
        <w:tc>
          <w:tcPr>
            <w:tcW w:w="0" w:type="auto"/>
            <w:vAlign w:val="center"/>
          </w:tcPr>
          <w:p>
            <w:pPr>
              <w:spacing w:before="0" w:after="0"/>
              <w:jc w:val="left"/>
            </w:pPr>
            <w:r>
              <w:rPr>
                <w:color w:val="50565b"/>
                <w:sz w:val="20"/>
              </w:rPr>
              <w:t>Yes/No/NA</w:t>
            </w:r>
          </w:p>
        </w:tc>
        <w:tc>
          <w:tcPr>
            <w:tcW w:w="0" w:type="auto"/>
            <w:vAlign w:val="center"/>
          </w:tcPr>
          <w:p>
            <w:pPr>
              <w:spacing w:before="0" w:after="0"/>
              <w:jc w:val="left"/>
            </w:pPr>
            <w:r>
              <w:rPr>
                <w:color w:val="50565b"/>
                <w:sz w:val="20"/>
              </w:rPr>
              <w:t>List subcontractors</w:t>
            </w:r>
          </w:p>
        </w:tc>
      </w:tr>
      <w:tr>
        <w:trPr>
          <w:trHeight w:val="360" w:hRule="atLeast"/>
        </w:trPr>
        <w:tc>
          <w:tcPr>
            <w:tcW w:w="0" w:type="auto"/>
            <w:vAlign w:val="center"/>
          </w:tcPr>
          <w:p>
            <w:pPr>
              <w:spacing w:before="0" w:after="0"/>
              <w:jc w:val="left"/>
            </w:pPr>
            <w:r>
              <w:rPr>
                <w:b/>
                <w:color w:val="002855"/>
                <w:sz w:val="20"/>
              </w:rPr>
              <w:t>Is vendor compliant with FERPA?</w:t>
            </w:r>
          </w:p>
        </w:tc>
        <w:tc>
          <w:tcPr>
            <w:tcW w:w="0" w:type="auto"/>
            <w:vAlign w:val="center"/>
          </w:tcPr>
          <w:p>
            <w:pPr>
              <w:spacing w:before="0" w:after="0"/>
              <w:jc w:val="left"/>
            </w:pPr>
            <w:r>
              <w:rPr>
                <w:color w:val="50565b"/>
                <w:sz w:val="20"/>
              </w:rPr>
              <w:t>Yes/No/NA</w:t>
            </w:r>
          </w:p>
        </w:tc>
        <w:tc>
          <w:tcPr>
            <w:tcW w:w="0" w:type="auto"/>
            <w:vAlign w:val="center"/>
          </w:tcPr>
          <w:p>
            <w:pPr>
              <w:spacing w:before="0" w:after="0"/>
              <w:jc w:val="left"/>
            </w:pPr>
            <w:r>
              <w:rPr>
                <w:color w:val="50565b"/>
                <w:sz w:val="20"/>
              </w:rPr>
              <w:t>Request attestation</w:t>
            </w:r>
          </w:p>
        </w:tc>
      </w:tr>
    </w:tbl>
    <w:p>
      <w:pPr>
        <w:pStyle w:val="Heading2"/>
      </w:pPr>
      <w:r>
        <w:t>Template 3: Security Training Log</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2000"/>
        <w:gridCol w:w="2000"/>
        <w:gridCol w:w="2000"/>
        <w:gridCol w:w="2000"/>
        <w:gridCol w:w="2000"/>
      </w:tblGrid>
      <w:tr>
        <w:trPr>
          <w:tblHeader/>
          <w:trHeight w:val="400" w:hRule="atLeast"/>
        </w:trPr>
        <w:tc>
          <w:tcPr>
            <w:tcW w:w="0" w:type="auto"/>
            <w:shd w:val="clear" w:fill="002855"/>
            <w:vAlign w:val="center"/>
          </w:tcPr>
          <w:p>
            <w:pPr>
              <w:spacing w:before="0" w:after="0"/>
              <w:jc w:val="left"/>
            </w:pPr>
            <w:r>
              <w:rPr>
                <w:b/>
                <w:color w:val="ffffff"/>
                <w:sz w:val="20"/>
              </w:rPr>
              <w:t>Employee Name</w:t>
            </w:r>
          </w:p>
        </w:tc>
        <w:tc>
          <w:tcPr>
            <w:tcW w:w="0" w:type="auto"/>
            <w:shd w:val="clear" w:fill="002855"/>
            <w:vAlign w:val="center"/>
          </w:tcPr>
          <w:p>
            <w:pPr>
              <w:spacing w:before="0" w:after="0"/>
              <w:jc w:val="left"/>
            </w:pPr>
            <w:r>
              <w:rPr>
                <w:b/>
                <w:color w:val="ffffff"/>
                <w:sz w:val="20"/>
              </w:rPr>
              <w:t>Department</w:t>
            </w:r>
          </w:p>
        </w:tc>
        <w:tc>
          <w:tcPr>
            <w:tcW w:w="0" w:type="auto"/>
            <w:shd w:val="clear" w:fill="002855"/>
            <w:vAlign w:val="center"/>
          </w:tcPr>
          <w:p>
            <w:pPr>
              <w:spacing w:before="0" w:after="0"/>
              <w:jc w:val="left"/>
            </w:pPr>
            <w:r>
              <w:rPr>
                <w:b/>
                <w:color w:val="ffffff"/>
                <w:sz w:val="20"/>
              </w:rPr>
              <w:t>Training Topic</w:t>
            </w:r>
          </w:p>
        </w:tc>
        <w:tc>
          <w:tcPr>
            <w:tcW w:w="0" w:type="auto"/>
            <w:shd w:val="clear" w:fill="002855"/>
            <w:vAlign w:val="center"/>
          </w:tcPr>
          <w:p>
            <w:pPr>
              <w:spacing w:before="0" w:after="0"/>
              <w:jc w:val="left"/>
            </w:pPr>
            <w:r>
              <w:rPr>
                <w:b/>
                <w:color w:val="ffffff"/>
                <w:sz w:val="20"/>
              </w:rPr>
              <w:t>Date Completed</w:t>
            </w:r>
          </w:p>
        </w:tc>
        <w:tc>
          <w:tcPr>
            <w:tcW w:w="0" w:type="auto"/>
            <w:shd w:val="clear" w:fill="002855"/>
            <w:vAlign w:val="center"/>
          </w:tcPr>
          <w:p>
            <w:pPr>
              <w:spacing w:before="0" w:after="0"/>
              <w:jc w:val="left"/>
            </w:pPr>
            <w:r>
              <w:rPr>
                <w:b/>
                <w:color w:val="ffffff"/>
                <w:sz w:val="20"/>
              </w:rPr>
              <w:t>Score/Status</w:t>
            </w:r>
          </w:p>
        </w:tc>
      </w:tr>
      <w:tr>
        <w:trPr>
          <w:trHeight w:val="360" w:hRule="atLeast"/>
        </w:trPr>
        <w:tc>
          <w:tcPr>
            <w:tcW w:w="0" w:type="auto"/>
            <w:vAlign w:val="center"/>
          </w:tcPr>
          <w:p>
            <w:pPr>
              <w:spacing w:before="0" w:after="0"/>
              <w:jc w:val="left"/>
            </w:pPr>
            <w:r>
              <w:rPr>
                <w:color w:val="50565b"/>
                <w:sz w:val="20"/>
              </w:rPr>
              <w:t>[Name]</w:t>
            </w:r>
          </w:p>
        </w:tc>
        <w:tc>
          <w:tcPr>
            <w:tcW w:w="0" w:type="auto"/>
            <w:vAlign w:val="center"/>
          </w:tcPr>
          <w:p>
            <w:pPr>
              <w:spacing w:before="0" w:after="0"/>
              <w:jc w:val="left"/>
            </w:pPr>
            <w:r>
              <w:rPr>
                <w:color w:val="50565b"/>
                <w:sz w:val="20"/>
              </w:rPr>
              <w:t>[Dept]</w:t>
            </w:r>
          </w:p>
        </w:tc>
        <w:tc>
          <w:tcPr>
            <w:tcW w:w="0" w:type="auto"/>
            <w:vAlign w:val="center"/>
          </w:tcPr>
          <w:p>
            <w:pPr>
              <w:spacing w:before="0" w:after="0"/>
              <w:jc w:val="left"/>
            </w:pPr>
            <w:r>
              <w:rPr>
                <w:color w:val="50565b"/>
                <w:sz w:val="20"/>
              </w:rPr>
              <w:t>[Topic]</w:t>
            </w:r>
          </w:p>
        </w:tc>
        <w:tc>
          <w:tcPr>
            <w:tcW w:w="0" w:type="auto"/>
            <w:vAlign w:val="center"/>
          </w:tcPr>
          <w:p>
            <w:pPr>
              <w:spacing w:before="0" w:after="0"/>
              <w:jc w:val="left"/>
            </w:pPr>
            <w:r>
              <w:rPr>
                <w:color w:val="50565b"/>
                <w:sz w:val="20"/>
              </w:rPr>
              <w:t>[Date]</w:t>
            </w:r>
          </w:p>
        </w:tc>
        <w:tc>
          <w:tcPr>
            <w:tcW w:w="0" w:type="auto"/>
            <w:vAlign w:val="center"/>
          </w:tcPr>
          <w:p>
            <w:pPr>
              <w:spacing w:before="0" w:after="0"/>
              <w:jc w:val="left"/>
            </w:pPr>
            <w:r>
              <w:rPr>
                <w:color w:val="50565b"/>
                <w:sz w:val="20"/>
              </w:rPr>
              <w:t>[Pass/Fail]</w:t>
            </w:r>
          </w:p>
        </w:tc>
      </w:tr>
      <w:tr>
        <w:trPr>
          <w:trHeight w:val="360" w:hRule="atLeast"/>
        </w:trPr>
        <w:tc>
          <w:tcPr>
            <w:tcW w:w="0" w:type="auto"/>
            <w:vAlign w:val="center"/>
          </w:tcPr>
          <w:p>
            <w:pPr>
              <w:spacing w:before="0" w:after="0"/>
              <w:jc w:val="left"/>
            </w:pPr>
            <w:r>
              <w:rPr>
                <w:color w:val="50565b"/>
                <w:sz w:val="20"/>
              </w:rPr>
              <w:t>[Name]</w:t>
            </w:r>
          </w:p>
        </w:tc>
        <w:tc>
          <w:tcPr>
            <w:tcW w:w="0" w:type="auto"/>
            <w:vAlign w:val="center"/>
          </w:tcPr>
          <w:p>
            <w:pPr>
              <w:spacing w:before="0" w:after="0"/>
              <w:jc w:val="left"/>
            </w:pPr>
            <w:r>
              <w:rPr>
                <w:color w:val="50565b"/>
                <w:sz w:val="20"/>
              </w:rPr>
              <w:t>[Dept]</w:t>
            </w:r>
          </w:p>
        </w:tc>
        <w:tc>
          <w:tcPr>
            <w:tcW w:w="0" w:type="auto"/>
            <w:vAlign w:val="center"/>
          </w:tcPr>
          <w:p>
            <w:pPr>
              <w:spacing w:before="0" w:after="0"/>
              <w:jc w:val="left"/>
            </w:pPr>
            <w:r>
              <w:rPr>
                <w:color w:val="50565b"/>
                <w:sz w:val="20"/>
              </w:rPr>
              <w:t>[Topic]</w:t>
            </w:r>
          </w:p>
        </w:tc>
        <w:tc>
          <w:tcPr>
            <w:tcW w:w="0" w:type="auto"/>
            <w:vAlign w:val="center"/>
          </w:tcPr>
          <w:p>
            <w:pPr>
              <w:spacing w:before="0" w:after="0"/>
              <w:jc w:val="left"/>
            </w:pPr>
            <w:r>
              <w:rPr>
                <w:color w:val="50565b"/>
                <w:sz w:val="20"/>
              </w:rPr>
              <w:t>[Date]</w:t>
            </w:r>
          </w:p>
        </w:tc>
        <w:tc>
          <w:tcPr>
            <w:tcW w:w="0" w:type="auto"/>
            <w:vAlign w:val="center"/>
          </w:tcPr>
          <w:p>
            <w:pPr>
              <w:spacing w:before="0" w:after="0"/>
              <w:jc w:val="left"/>
            </w:pPr>
            <w:r>
              <w:rPr>
                <w:color w:val="50565b"/>
                <w:sz w:val="20"/>
              </w:rPr>
              <w:t>[Pass/Fail]</w:t>
            </w:r>
          </w:p>
        </w:tc>
      </w:tr>
      <w:tr>
        <w:trPr>
          <w:trHeight w:val="360" w:hRule="atLeast"/>
        </w:trPr>
        <w:tc>
          <w:tcPr>
            <w:tcW w:w="0" w:type="auto"/>
            <w:vAlign w:val="center"/>
          </w:tcPr>
          <w:p>
            <w:pPr>
              <w:spacing w:before="0" w:after="0"/>
              <w:jc w:val="left"/>
            </w:pPr>
            <w:r>
              <w:rPr>
                <w:color w:val="50565b"/>
                <w:sz w:val="20"/>
              </w:rPr>
              <w:t>[Name]</w:t>
            </w:r>
          </w:p>
        </w:tc>
        <w:tc>
          <w:tcPr>
            <w:tcW w:w="0" w:type="auto"/>
            <w:vAlign w:val="center"/>
          </w:tcPr>
          <w:p>
            <w:pPr>
              <w:spacing w:before="0" w:after="0"/>
              <w:jc w:val="left"/>
            </w:pPr>
            <w:r>
              <w:rPr>
                <w:color w:val="50565b"/>
                <w:sz w:val="20"/>
              </w:rPr>
              <w:t>[Dept]</w:t>
            </w:r>
          </w:p>
        </w:tc>
        <w:tc>
          <w:tcPr>
            <w:tcW w:w="0" w:type="auto"/>
            <w:vAlign w:val="center"/>
          </w:tcPr>
          <w:p>
            <w:pPr>
              <w:spacing w:before="0" w:after="0"/>
              <w:jc w:val="left"/>
            </w:pPr>
            <w:r>
              <w:rPr>
                <w:color w:val="50565b"/>
                <w:sz w:val="20"/>
              </w:rPr>
              <w:t>[Topic]</w:t>
            </w:r>
          </w:p>
        </w:tc>
        <w:tc>
          <w:tcPr>
            <w:tcW w:w="0" w:type="auto"/>
            <w:vAlign w:val="center"/>
          </w:tcPr>
          <w:p>
            <w:pPr>
              <w:spacing w:before="0" w:after="0"/>
              <w:jc w:val="left"/>
            </w:pPr>
            <w:r>
              <w:rPr>
                <w:color w:val="50565b"/>
                <w:sz w:val="20"/>
              </w:rPr>
              <w:t>[Date]</w:t>
            </w:r>
          </w:p>
        </w:tc>
        <w:tc>
          <w:tcPr>
            <w:tcW w:w="0" w:type="auto"/>
            <w:vAlign w:val="center"/>
          </w:tcPr>
          <w:p>
            <w:pPr>
              <w:spacing w:before="0" w:after="0"/>
              <w:jc w:val="left"/>
            </w:pPr>
            <w:r>
              <w:rPr>
                <w:color w:val="50565b"/>
                <w:sz w:val="20"/>
              </w:rPr>
              <w:t>[Pass/Fail]</w:t>
            </w:r>
          </w:p>
        </w:tc>
      </w:tr>
      <w:tr>
        <w:trPr>
          <w:trHeight w:val="360" w:hRule="atLeast"/>
        </w:trPr>
        <w:tc>
          <w:tcPr>
            <w:tcW w:w="0" w:type="auto"/>
            <w:vAlign w:val="center"/>
          </w:tcPr>
          <w:p>
            <w:pPr>
              <w:spacing w:before="0" w:after="0"/>
              <w:jc w:val="left"/>
            </w:pPr>
            <w:r>
              <w:rPr>
                <w:color w:val="50565b"/>
                <w:sz w:val="20"/>
              </w:rPr>
              <w:t>[Name]</w:t>
            </w:r>
          </w:p>
        </w:tc>
        <w:tc>
          <w:tcPr>
            <w:tcW w:w="0" w:type="auto"/>
            <w:vAlign w:val="center"/>
          </w:tcPr>
          <w:p>
            <w:pPr>
              <w:spacing w:before="0" w:after="0"/>
              <w:jc w:val="left"/>
            </w:pPr>
            <w:r>
              <w:rPr>
                <w:color w:val="50565b"/>
                <w:sz w:val="20"/>
              </w:rPr>
              <w:t>[Dept]</w:t>
            </w:r>
          </w:p>
        </w:tc>
        <w:tc>
          <w:tcPr>
            <w:tcW w:w="0" w:type="auto"/>
            <w:vAlign w:val="center"/>
          </w:tcPr>
          <w:p>
            <w:pPr>
              <w:spacing w:before="0" w:after="0"/>
              <w:jc w:val="left"/>
            </w:pPr>
            <w:r>
              <w:rPr>
                <w:color w:val="50565b"/>
                <w:sz w:val="20"/>
              </w:rPr>
              <w:t>[Topic]</w:t>
            </w:r>
          </w:p>
        </w:tc>
        <w:tc>
          <w:tcPr>
            <w:tcW w:w="0" w:type="auto"/>
            <w:vAlign w:val="center"/>
          </w:tcPr>
          <w:p>
            <w:pPr>
              <w:spacing w:before="0" w:after="0"/>
              <w:jc w:val="left"/>
            </w:pPr>
            <w:r>
              <w:rPr>
                <w:color w:val="50565b"/>
                <w:sz w:val="20"/>
              </w:rPr>
              <w:t>[Date]</w:t>
            </w:r>
          </w:p>
        </w:tc>
        <w:tc>
          <w:tcPr>
            <w:tcW w:w="0" w:type="auto"/>
            <w:vAlign w:val="center"/>
          </w:tcPr>
          <w:p>
            <w:pPr>
              <w:spacing w:before="0" w:after="0"/>
              <w:jc w:val="left"/>
            </w:pPr>
            <w:r>
              <w:rPr>
                <w:color w:val="50565b"/>
                <w:sz w:val="20"/>
              </w:rPr>
              <w:t>[Pass/Fail]</w:t>
            </w:r>
          </w:p>
        </w:tc>
      </w:tr>
    </w:tbl>
    <w:p>
      <w:pPr>
        <w:pStyle w:val="Heading2"/>
      </w:pPr>
      <w:r>
        <w:t>Template 4: Risk Register</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1500"/>
        <w:gridCol w:w="2500"/>
        <w:gridCol w:w="1200"/>
        <w:gridCol w:w="1200"/>
        <w:gridCol w:w="1200"/>
        <w:gridCol w:w="2400"/>
      </w:tblGrid>
      <w:tr>
        <w:trPr>
          <w:tblHeader/>
          <w:trHeight w:val="400" w:hRule="atLeast"/>
        </w:trPr>
        <w:tc>
          <w:tcPr>
            <w:tcW w:w="0" w:type="auto"/>
            <w:shd w:val="clear" w:fill="002855"/>
            <w:vAlign w:val="center"/>
          </w:tcPr>
          <w:p>
            <w:pPr>
              <w:spacing w:before="0" w:after="0"/>
              <w:jc w:val="left"/>
            </w:pPr>
            <w:r>
              <w:rPr>
                <w:b/>
                <w:color w:val="ffffff"/>
                <w:sz w:val="20"/>
              </w:rPr>
              <w:t>Risk ID</w:t>
            </w:r>
          </w:p>
        </w:tc>
        <w:tc>
          <w:tcPr>
            <w:tcW w:w="0" w:type="auto"/>
            <w:shd w:val="clear" w:fill="002855"/>
            <w:vAlign w:val="center"/>
          </w:tcPr>
          <w:p>
            <w:pPr>
              <w:spacing w:before="0" w:after="0"/>
              <w:jc w:val="left"/>
            </w:pPr>
            <w:r>
              <w:rPr>
                <w:b/>
                <w:color w:val="ffffff"/>
                <w:sz w:val="20"/>
              </w:rPr>
              <w:t>Risk Description</w:t>
            </w:r>
          </w:p>
        </w:tc>
        <w:tc>
          <w:tcPr>
            <w:tcW w:w="0" w:type="auto"/>
            <w:shd w:val="clear" w:fill="002855"/>
            <w:vAlign w:val="center"/>
          </w:tcPr>
          <w:p>
            <w:pPr>
              <w:spacing w:before="0" w:after="0"/>
              <w:jc w:val="left"/>
            </w:pPr>
            <w:r>
              <w:rPr>
                <w:b/>
                <w:color w:val="ffffff"/>
                <w:sz w:val="20"/>
              </w:rPr>
              <w:t>Likelihood</w:t>
            </w:r>
          </w:p>
        </w:tc>
        <w:tc>
          <w:tcPr>
            <w:tcW w:w="0" w:type="auto"/>
            <w:shd w:val="clear" w:fill="002855"/>
            <w:vAlign w:val="center"/>
          </w:tcPr>
          <w:p>
            <w:pPr>
              <w:spacing w:before="0" w:after="0"/>
              <w:jc w:val="left"/>
            </w:pPr>
            <w:r>
              <w:rPr>
                <w:b/>
                <w:color w:val="ffffff"/>
                <w:sz w:val="20"/>
              </w:rPr>
              <w:t>Impact</w:t>
            </w:r>
          </w:p>
        </w:tc>
        <w:tc>
          <w:tcPr>
            <w:tcW w:w="0" w:type="auto"/>
            <w:shd w:val="clear" w:fill="002855"/>
            <w:vAlign w:val="center"/>
          </w:tcPr>
          <w:p>
            <w:pPr>
              <w:spacing w:before="0" w:after="0"/>
              <w:jc w:val="left"/>
            </w:pPr>
            <w:r>
              <w:rPr>
                <w:b/>
                <w:color w:val="ffffff"/>
                <w:sz w:val="20"/>
              </w:rPr>
              <w:t>Risk Level</w:t>
            </w:r>
          </w:p>
        </w:tc>
        <w:tc>
          <w:tcPr>
            <w:tcW w:w="0" w:type="auto"/>
            <w:shd w:val="clear" w:fill="002855"/>
            <w:vAlign w:val="center"/>
          </w:tcPr>
          <w:p>
            <w:pPr>
              <w:spacing w:before="0" w:after="0"/>
              <w:jc w:val="left"/>
            </w:pPr>
            <w:r>
              <w:rPr>
                <w:b/>
                <w:color w:val="ffffff"/>
                <w:sz w:val="20"/>
              </w:rPr>
              <w:t>Mitigation Plan</w:t>
            </w:r>
          </w:p>
        </w:tc>
      </w:tr>
      <w:tr>
        <w:trPr>
          <w:trHeight w:val="360" w:hRule="atLeast"/>
        </w:trPr>
        <w:tc>
          <w:tcPr>
            <w:tcW w:w="0" w:type="auto"/>
            <w:vAlign w:val="center"/>
          </w:tcPr>
          <w:p>
            <w:pPr>
              <w:spacing w:before="0" w:after="0"/>
              <w:jc w:val="left"/>
            </w:pPr>
            <w:r>
              <w:rPr>
                <w:color w:val="50565b"/>
                <w:sz w:val="20"/>
              </w:rPr>
              <w:t>R001</w:t>
            </w:r>
          </w:p>
        </w:tc>
        <w:tc>
          <w:tcPr>
            <w:tcW w:w="0" w:type="auto"/>
            <w:vAlign w:val="center"/>
          </w:tcPr>
          <w:p>
            <w:pPr>
              <w:spacing w:before="0" w:after="0"/>
              <w:jc w:val="left"/>
            </w:pPr>
            <w:r>
              <w:rPr>
                <w:color w:val="50565b"/>
                <w:sz w:val="20"/>
              </w:rPr>
              <w:t>[Description]</w:t>
            </w:r>
          </w:p>
        </w:tc>
        <w:tc>
          <w:tcPr>
            <w:tcW w:w="0" w:type="auto"/>
            <w:vAlign w:val="center"/>
          </w:tcPr>
          <w:p>
            <w:pPr>
              <w:spacing w:before="0" w:after="0"/>
              <w:jc w:val="left"/>
            </w:pPr>
            <w:r>
              <w:rPr>
                <w:color w:val="50565b"/>
                <w:sz w:val="20"/>
              </w:rPr>
              <w:t>H/M/L</w:t>
            </w:r>
          </w:p>
        </w:tc>
        <w:tc>
          <w:tcPr>
            <w:tcW w:w="0" w:type="auto"/>
            <w:vAlign w:val="center"/>
          </w:tcPr>
          <w:p>
            <w:pPr>
              <w:spacing w:before="0" w:after="0"/>
              <w:jc w:val="left"/>
            </w:pPr>
            <w:r>
              <w:rPr>
                <w:color w:val="50565b"/>
                <w:sz w:val="20"/>
              </w:rPr>
              <w:t>H/M/L</w:t>
            </w:r>
          </w:p>
        </w:tc>
        <w:tc>
          <w:tcPr>
            <w:tcW w:w="0" w:type="auto"/>
            <w:vAlign w:val="center"/>
          </w:tcPr>
          <w:p>
            <w:pPr>
              <w:spacing w:before="0" w:after="0"/>
              <w:jc w:val="left"/>
            </w:pPr>
            <w:r>
              <w:rPr>
                <w:color w:val="50565b"/>
                <w:sz w:val="20"/>
              </w:rPr>
              <w:t>Critical/High/Med/Low</w:t>
            </w:r>
          </w:p>
        </w:tc>
        <w:tc>
          <w:tcPr>
            <w:tcW w:w="0" w:type="auto"/>
            <w:vAlign w:val="center"/>
          </w:tcPr>
          <w:p>
            <w:pPr>
              <w:spacing w:before="0" w:after="0"/>
              <w:jc w:val="left"/>
            </w:pPr>
            <w:r>
              <w:rPr>
                <w:color w:val="50565b"/>
                <w:sz w:val="20"/>
              </w:rPr>
              <w:t>[Actions &amp; Owner]</w:t>
            </w:r>
          </w:p>
        </w:tc>
      </w:tr>
      <w:tr>
        <w:trPr>
          <w:trHeight w:val="360" w:hRule="atLeast"/>
        </w:trPr>
        <w:tc>
          <w:tcPr>
            <w:tcW w:w="0" w:type="auto"/>
            <w:vAlign w:val="center"/>
          </w:tcPr>
          <w:p>
            <w:pPr>
              <w:spacing w:before="0" w:after="0"/>
              <w:jc w:val="left"/>
            </w:pPr>
            <w:r>
              <w:rPr>
                <w:color w:val="50565b"/>
                <w:sz w:val="20"/>
              </w:rPr>
              <w:t>R002</w:t>
            </w:r>
          </w:p>
        </w:tc>
        <w:tc>
          <w:tcPr>
            <w:tcW w:w="0" w:type="auto"/>
            <w:vAlign w:val="center"/>
          </w:tcPr>
          <w:p>
            <w:pPr>
              <w:spacing w:before="0" w:after="0"/>
              <w:jc w:val="left"/>
            </w:pPr>
            <w:r>
              <w:rPr>
                <w:color w:val="50565b"/>
                <w:sz w:val="20"/>
              </w:rPr>
              <w:t>[Description]</w:t>
            </w:r>
          </w:p>
        </w:tc>
        <w:tc>
          <w:tcPr>
            <w:tcW w:w="0" w:type="auto"/>
            <w:vAlign w:val="center"/>
          </w:tcPr>
          <w:p>
            <w:pPr>
              <w:spacing w:before="0" w:after="0"/>
              <w:jc w:val="left"/>
            </w:pPr>
            <w:r>
              <w:rPr>
                <w:color w:val="50565b"/>
                <w:sz w:val="20"/>
              </w:rPr>
              <w:t>H/M/L</w:t>
            </w:r>
          </w:p>
        </w:tc>
        <w:tc>
          <w:tcPr>
            <w:tcW w:w="0" w:type="auto"/>
            <w:vAlign w:val="center"/>
          </w:tcPr>
          <w:p>
            <w:pPr>
              <w:spacing w:before="0" w:after="0"/>
              <w:jc w:val="left"/>
            </w:pPr>
            <w:r>
              <w:rPr>
                <w:color w:val="50565b"/>
                <w:sz w:val="20"/>
              </w:rPr>
              <w:t>H/M/L</w:t>
            </w:r>
          </w:p>
        </w:tc>
        <w:tc>
          <w:tcPr>
            <w:tcW w:w="0" w:type="auto"/>
            <w:vAlign w:val="center"/>
          </w:tcPr>
          <w:p>
            <w:pPr>
              <w:spacing w:before="0" w:after="0"/>
              <w:jc w:val="left"/>
            </w:pPr>
            <w:r>
              <w:rPr>
                <w:color w:val="50565b"/>
                <w:sz w:val="20"/>
              </w:rPr>
              <w:t>Critical/High/Med/Low</w:t>
            </w:r>
          </w:p>
        </w:tc>
        <w:tc>
          <w:tcPr>
            <w:tcW w:w="0" w:type="auto"/>
            <w:vAlign w:val="center"/>
          </w:tcPr>
          <w:p>
            <w:pPr>
              <w:spacing w:before="0" w:after="0"/>
              <w:jc w:val="left"/>
            </w:pPr>
            <w:r>
              <w:rPr>
                <w:color w:val="50565b"/>
                <w:sz w:val="20"/>
              </w:rPr>
              <w:t>[Actions &amp; Owner]</w:t>
            </w:r>
          </w:p>
        </w:tc>
      </w:tr>
      <w:tr>
        <w:trPr>
          <w:trHeight w:val="360" w:hRule="atLeast"/>
        </w:trPr>
        <w:tc>
          <w:tcPr>
            <w:tcW w:w="0" w:type="auto"/>
            <w:vAlign w:val="center"/>
          </w:tcPr>
          <w:p>
            <w:pPr>
              <w:spacing w:before="0" w:after="0"/>
              <w:jc w:val="left"/>
            </w:pPr>
            <w:r>
              <w:rPr>
                <w:color w:val="50565b"/>
                <w:sz w:val="20"/>
              </w:rPr>
              <w:t>R003</w:t>
            </w:r>
          </w:p>
        </w:tc>
        <w:tc>
          <w:tcPr>
            <w:tcW w:w="0" w:type="auto"/>
            <w:vAlign w:val="center"/>
          </w:tcPr>
          <w:p>
            <w:pPr>
              <w:spacing w:before="0" w:after="0"/>
              <w:jc w:val="left"/>
            </w:pPr>
            <w:r>
              <w:rPr>
                <w:color w:val="50565b"/>
                <w:sz w:val="20"/>
              </w:rPr>
              <w:t>[Description]</w:t>
            </w:r>
          </w:p>
        </w:tc>
        <w:tc>
          <w:tcPr>
            <w:tcW w:w="0" w:type="auto"/>
            <w:vAlign w:val="center"/>
          </w:tcPr>
          <w:p>
            <w:pPr>
              <w:spacing w:before="0" w:after="0"/>
              <w:jc w:val="left"/>
            </w:pPr>
            <w:r>
              <w:rPr>
                <w:color w:val="50565b"/>
                <w:sz w:val="20"/>
              </w:rPr>
              <w:t>H/M/L</w:t>
            </w:r>
          </w:p>
        </w:tc>
        <w:tc>
          <w:tcPr>
            <w:tcW w:w="0" w:type="auto"/>
            <w:vAlign w:val="center"/>
          </w:tcPr>
          <w:p>
            <w:pPr>
              <w:spacing w:before="0" w:after="0"/>
              <w:jc w:val="left"/>
            </w:pPr>
            <w:r>
              <w:rPr>
                <w:color w:val="50565b"/>
                <w:sz w:val="20"/>
              </w:rPr>
              <w:t>H/M/L</w:t>
            </w:r>
          </w:p>
        </w:tc>
        <w:tc>
          <w:tcPr>
            <w:tcW w:w="0" w:type="auto"/>
            <w:vAlign w:val="center"/>
          </w:tcPr>
          <w:p>
            <w:pPr>
              <w:spacing w:before="0" w:after="0"/>
              <w:jc w:val="left"/>
            </w:pPr>
            <w:r>
              <w:rPr>
                <w:color w:val="50565b"/>
                <w:sz w:val="20"/>
              </w:rPr>
              <w:t>Critical/High/Med/Low</w:t>
            </w:r>
          </w:p>
        </w:tc>
        <w:tc>
          <w:tcPr>
            <w:tcW w:w="0" w:type="auto"/>
            <w:vAlign w:val="center"/>
          </w:tcPr>
          <w:p>
            <w:pPr>
              <w:spacing w:before="0" w:after="0"/>
              <w:jc w:val="left"/>
            </w:pPr>
            <w:r>
              <w:rPr>
                <w:color w:val="50565b"/>
                <w:sz w:val="20"/>
              </w:rPr>
              <w:t>[Actions &amp; Owner]</w:t>
            </w:r>
          </w:p>
        </w:tc>
      </w:tr>
    </w:tbl>
    <w:p>
      <w:pPr>
        <w:pStyle w:val="Heading1"/>
      </w:pPr>
      <w:bookmarkStart w:name="_Toc014" w:id="014"/>
      <w:r>
        <w:t>Resources &amp; References</w:t>
      </w:r>
      <w:bookmarkEnd w:id="014"/>
    </w:p>
    <w:p>
      <w:r>
        <w:t>The following resources provide additional guidance, tools, and support for implementing HB 44 requirements.</w:t>
      </w:r>
    </w:p>
    <w:p>
      <w:pPr>
        <w:pStyle w:val="Heading2"/>
      </w:pPr>
      <w:r>
        <w:t>Federal Resources</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3000"/>
        <w:gridCol w:w="2500"/>
        <w:gridCol w:w="4500"/>
      </w:tblGrid>
      <w:tr>
        <w:trPr>
          <w:tblHeader/>
          <w:trHeight w:val="400" w:hRule="atLeast"/>
        </w:trPr>
        <w:tc>
          <w:tcPr>
            <w:tcW w:w="0" w:type="auto"/>
            <w:shd w:val="clear" w:fill="002855"/>
            <w:vAlign w:val="center"/>
          </w:tcPr>
          <w:p>
            <w:pPr>
              <w:spacing w:before="0" w:after="0"/>
              <w:jc w:val="left"/>
            </w:pPr>
            <w:r>
              <w:rPr>
                <w:b/>
                <w:color w:val="ffffff"/>
                <w:sz w:val="20"/>
              </w:rPr>
              <w:t>Resource</w:t>
            </w:r>
          </w:p>
        </w:tc>
        <w:tc>
          <w:tcPr>
            <w:tcW w:w="0" w:type="auto"/>
            <w:shd w:val="clear" w:fill="002855"/>
            <w:vAlign w:val="center"/>
          </w:tcPr>
          <w:p>
            <w:pPr>
              <w:spacing w:before="0" w:after="0"/>
              <w:jc w:val="left"/>
            </w:pPr>
            <w:r>
              <w:rPr>
                <w:b/>
                <w:color w:val="ffffff"/>
                <w:sz w:val="20"/>
              </w:rPr>
              <w:t>Website</w:t>
            </w:r>
          </w:p>
        </w:tc>
        <w:tc>
          <w:tcPr>
            <w:tcW w:w="0" w:type="auto"/>
            <w:shd w:val="clear" w:fill="002855"/>
            <w:vAlign w:val="center"/>
          </w:tcPr>
          <w:p>
            <w:pPr>
              <w:spacing w:before="0" w:after="0"/>
              <w:jc w:val="left"/>
            </w:pPr>
            <w:r>
              <w:rPr>
                <w:b/>
                <w:color w:val="ffffff"/>
                <w:sz w:val="20"/>
              </w:rPr>
              <w:t>Description</w:t>
            </w:r>
          </w:p>
        </w:tc>
      </w:tr>
      <w:tr>
        <w:trPr>
          <w:trHeight w:val="360" w:hRule="atLeast"/>
        </w:trPr>
        <w:tc>
          <w:tcPr>
            <w:tcW w:w="0" w:type="auto"/>
            <w:vAlign w:val="center"/>
          </w:tcPr>
          <w:p>
            <w:pPr>
              <w:spacing w:before="0" w:after="0"/>
              <w:jc w:val="left"/>
            </w:pPr>
            <w:r>
              <w:rPr>
                <w:color w:val="50565b"/>
                <w:sz w:val="20"/>
              </w:rPr>
              <w:t>CISA - Cybersecurity &amp; Infrastructure Security Agency</w:t>
            </w:r>
          </w:p>
        </w:tc>
        <w:tc>
          <w:tcPr>
            <w:tcW w:w="0" w:type="auto"/>
            <w:vAlign w:val="center"/>
          </w:tcPr>
          <w:p>
            <w:pPr>
              <w:spacing w:before="0" w:after="0"/>
              <w:jc w:val="left"/>
            </w:pPr>
            <w:r>
              <w:rPr>
                <w:color w:val="50565b"/>
                <w:sz w:val="20"/>
              </w:rPr>
              <w:t>cisa.gov</w:t>
            </w:r>
          </w:p>
        </w:tc>
        <w:tc>
          <w:tcPr>
            <w:tcW w:w="0" w:type="auto"/>
            <w:vAlign w:val="center"/>
          </w:tcPr>
          <w:p>
            <w:pPr>
              <w:spacing w:before="0" w:after="0"/>
              <w:jc w:val="left"/>
            </w:pPr>
            <w:r>
              <w:rPr>
                <w:color w:val="50565b"/>
                <w:sz w:val="20"/>
              </w:rPr>
              <w:t>Free vulnerability scanning, security guidance, and incident response support</w:t>
            </w:r>
          </w:p>
        </w:tc>
      </w:tr>
      <w:tr>
        <w:trPr>
          <w:trHeight w:val="360" w:hRule="atLeast"/>
        </w:trPr>
        <w:tc>
          <w:tcPr>
            <w:tcW w:w="0" w:type="auto"/>
            <w:vAlign w:val="center"/>
          </w:tcPr>
          <w:p>
            <w:pPr>
              <w:spacing w:before="0" w:after="0"/>
              <w:jc w:val="left"/>
            </w:pPr>
            <w:r>
              <w:rPr>
                <w:color w:val="50565b"/>
                <w:sz w:val="20"/>
              </w:rPr>
              <w:t>CISA - K-12 Cybersecurity Toolkit</w:t>
            </w:r>
          </w:p>
        </w:tc>
        <w:tc>
          <w:tcPr>
            <w:tcW w:w="0" w:type="auto"/>
            <w:vAlign w:val="center"/>
          </w:tcPr>
          <w:p>
            <w:pPr>
              <w:spacing w:before="0" w:after="0"/>
              <w:jc w:val="left"/>
            </w:pPr>
            <w:r>
              <w:rPr>
                <w:color w:val="50565b"/>
                <w:sz w:val="20"/>
              </w:rPr>
              <w:t>cisa.gov/k12</w:t>
            </w:r>
          </w:p>
        </w:tc>
        <w:tc>
          <w:tcPr>
            <w:tcW w:w="0" w:type="auto"/>
            <w:vAlign w:val="center"/>
          </w:tcPr>
          <w:p>
            <w:pPr>
              <w:spacing w:before="0" w:after="0"/>
              <w:jc w:val="left"/>
            </w:pPr>
            <w:r>
              <w:rPr>
                <w:color w:val="50565b"/>
                <w:sz w:val="20"/>
              </w:rPr>
              <w:t>K-12 specific resources and best practices</w:t>
            </w:r>
          </w:p>
        </w:tc>
      </w:tr>
      <w:tr>
        <w:trPr>
          <w:trHeight w:val="360" w:hRule="atLeast"/>
        </w:trPr>
        <w:tc>
          <w:tcPr>
            <w:tcW w:w="0" w:type="auto"/>
            <w:vAlign w:val="center"/>
          </w:tcPr>
          <w:p>
            <w:pPr>
              <w:spacing w:before="0" w:after="0"/>
              <w:jc w:val="left"/>
            </w:pPr>
            <w:r>
              <w:rPr>
                <w:color w:val="50565b"/>
                <w:sz w:val="20"/>
              </w:rPr>
              <w:t>NIST - Cybersecurity Framework</w:t>
            </w:r>
          </w:p>
        </w:tc>
        <w:tc>
          <w:tcPr>
            <w:tcW w:w="0" w:type="auto"/>
            <w:vAlign w:val="center"/>
          </w:tcPr>
          <w:p>
            <w:pPr>
              <w:spacing w:before="0" w:after="0"/>
              <w:jc w:val="left"/>
            </w:pPr>
            <w:r>
              <w:rPr>
                <w:color w:val="50565b"/>
                <w:sz w:val="20"/>
              </w:rPr>
              <w:t>nist.gov/cyberframework</w:t>
            </w:r>
          </w:p>
        </w:tc>
        <w:tc>
          <w:tcPr>
            <w:tcW w:w="0" w:type="auto"/>
            <w:vAlign w:val="center"/>
          </w:tcPr>
          <w:p>
            <w:pPr>
              <w:spacing w:before="0" w:after="0"/>
              <w:jc w:val="left"/>
            </w:pPr>
            <w:r>
              <w:rPr>
                <w:color w:val="50565b"/>
                <w:sz w:val="20"/>
              </w:rPr>
              <w:t>Framework documentation and implementation guidance</w:t>
            </w:r>
          </w:p>
        </w:tc>
      </w:tr>
      <w:tr>
        <w:trPr>
          <w:trHeight w:val="360" w:hRule="atLeast"/>
        </w:trPr>
        <w:tc>
          <w:tcPr>
            <w:tcW w:w="0" w:type="auto"/>
            <w:vAlign w:val="center"/>
          </w:tcPr>
          <w:p>
            <w:pPr>
              <w:spacing w:before="0" w:after="0"/>
              <w:jc w:val="left"/>
            </w:pPr>
            <w:r>
              <w:rPr>
                <w:color w:val="50565b"/>
                <w:sz w:val="20"/>
              </w:rPr>
              <w:t>FERPA Guidance</w:t>
            </w:r>
          </w:p>
        </w:tc>
        <w:tc>
          <w:tcPr>
            <w:tcW w:w="0" w:type="auto"/>
            <w:vAlign w:val="center"/>
          </w:tcPr>
          <w:p>
            <w:pPr>
              <w:spacing w:before="0" w:after="0"/>
              <w:jc w:val="left"/>
            </w:pPr>
            <w:r>
              <w:rPr>
                <w:color w:val="50565b"/>
                <w:sz w:val="20"/>
              </w:rPr>
              <w:t>studentprivacy.ed.gov</w:t>
            </w:r>
          </w:p>
        </w:tc>
        <w:tc>
          <w:tcPr>
            <w:tcW w:w="0" w:type="auto"/>
            <w:vAlign w:val="center"/>
          </w:tcPr>
          <w:p>
            <w:pPr>
              <w:spacing w:before="0" w:after="0"/>
              <w:jc w:val="left"/>
            </w:pPr>
            <w:r>
              <w:rPr>
                <w:color w:val="50565b"/>
                <w:sz w:val="20"/>
              </w:rPr>
              <w:t>U.S. Department of Education student privacy resources</w:t>
            </w:r>
          </w:p>
        </w:tc>
      </w:tr>
      <w:tr>
        <w:trPr>
          <w:trHeight w:val="360" w:hRule="atLeast"/>
        </w:trPr>
        <w:tc>
          <w:tcPr>
            <w:tcW w:w="0" w:type="auto"/>
            <w:vAlign w:val="center"/>
          </w:tcPr>
          <w:p>
            <w:pPr>
              <w:spacing w:before="0" w:after="0"/>
              <w:jc w:val="left"/>
            </w:pPr>
            <w:r>
              <w:rPr>
                <w:color w:val="50565b"/>
                <w:sz w:val="20"/>
              </w:rPr>
              <w:t>MS-ISAC</w:t>
            </w:r>
          </w:p>
        </w:tc>
        <w:tc>
          <w:tcPr>
            <w:tcW w:w="0" w:type="auto"/>
            <w:vAlign w:val="center"/>
          </w:tcPr>
          <w:p>
            <w:pPr>
              <w:spacing w:before="0" w:after="0"/>
              <w:jc w:val="left"/>
            </w:pPr>
            <w:r>
              <w:rPr>
                <w:color w:val="50565b"/>
                <w:sz w:val="20"/>
              </w:rPr>
              <w:t>msisac.org</w:t>
            </w:r>
          </w:p>
        </w:tc>
        <w:tc>
          <w:tcPr>
            <w:tcW w:w="0" w:type="auto"/>
            <w:vAlign w:val="center"/>
          </w:tcPr>
          <w:p>
            <w:pPr>
              <w:spacing w:before="0" w:after="0"/>
              <w:jc w:val="left"/>
            </w:pPr>
            <w:r>
              <w:rPr>
                <w:color w:val="50565b"/>
                <w:sz w:val="20"/>
              </w:rPr>
              <w:t>Multi-State Information Sharing and Analysis Center (free to members)</w:t>
            </w:r>
          </w:p>
        </w:tc>
      </w:tr>
    </w:tbl>
    <w:p>
      <w:pPr>
        <w:pStyle w:val="Heading2"/>
      </w:pPr>
      <w:r>
        <w:t>State Resources</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3000"/>
        <w:gridCol w:w="2500"/>
        <w:gridCol w:w="4500"/>
      </w:tblGrid>
      <w:tr>
        <w:trPr>
          <w:tblHeader/>
          <w:trHeight w:val="400" w:hRule="atLeast"/>
        </w:trPr>
        <w:tc>
          <w:tcPr>
            <w:tcW w:w="0" w:type="auto"/>
            <w:shd w:val="clear" w:fill="002855"/>
            <w:vAlign w:val="center"/>
          </w:tcPr>
          <w:p>
            <w:pPr>
              <w:spacing w:before="0" w:after="0"/>
              <w:jc w:val="left"/>
            </w:pPr>
            <w:r>
              <w:rPr>
                <w:b/>
                <w:color w:val="ffffff"/>
                <w:sz w:val="20"/>
              </w:rPr>
              <w:t>Resource</w:t>
            </w:r>
          </w:p>
        </w:tc>
        <w:tc>
          <w:tcPr>
            <w:tcW w:w="0" w:type="auto"/>
            <w:shd w:val="clear" w:fill="002855"/>
            <w:vAlign w:val="center"/>
          </w:tcPr>
          <w:p>
            <w:pPr>
              <w:spacing w:before="0" w:after="0"/>
              <w:jc w:val="left"/>
            </w:pPr>
            <w:r>
              <w:rPr>
                <w:b/>
                <w:color w:val="ffffff"/>
                <w:sz w:val="20"/>
              </w:rPr>
              <w:t>Website</w:t>
            </w:r>
          </w:p>
        </w:tc>
        <w:tc>
          <w:tcPr>
            <w:tcW w:w="0" w:type="auto"/>
            <w:shd w:val="clear" w:fill="002855"/>
            <w:vAlign w:val="center"/>
          </w:tcPr>
          <w:p>
            <w:pPr>
              <w:spacing w:before="0" w:after="0"/>
              <w:jc w:val="left"/>
            </w:pPr>
            <w:r>
              <w:rPr>
                <w:b/>
                <w:color w:val="ffffff"/>
                <w:sz w:val="20"/>
              </w:rPr>
              <w:t>Description</w:t>
            </w:r>
          </w:p>
        </w:tc>
      </w:tr>
      <w:tr>
        <w:trPr>
          <w:trHeight w:val="360" w:hRule="atLeast"/>
        </w:trPr>
        <w:tc>
          <w:tcPr>
            <w:tcW w:w="0" w:type="auto"/>
            <w:vAlign w:val="center"/>
          </w:tcPr>
          <w:p>
            <w:pPr>
              <w:spacing w:before="0" w:after="0"/>
              <w:jc w:val="left"/>
            </w:pPr>
            <w:r>
              <w:rPr>
                <w:color w:val="50565b"/>
                <w:sz w:val="20"/>
              </w:rPr>
              <w:t>Utah Cyber Center</w:t>
            </w:r>
          </w:p>
        </w:tc>
        <w:tc>
          <w:tcPr>
            <w:tcW w:w="0" w:type="auto"/>
            <w:vAlign w:val="center"/>
          </w:tcPr>
          <w:p>
            <w:pPr>
              <w:spacing w:before="0" w:after="0"/>
              <w:jc w:val="left"/>
            </w:pPr>
            <w:r>
              <w:rPr>
                <w:color w:val="50565b"/>
                <w:sz w:val="20"/>
              </w:rPr>
              <w:t>utahcybercenter.org</w:t>
            </w:r>
          </w:p>
        </w:tc>
        <w:tc>
          <w:tcPr>
            <w:tcW w:w="0" w:type="auto"/>
            <w:vAlign w:val="center"/>
          </w:tcPr>
          <w:p>
            <w:pPr>
              <w:spacing w:before="0" w:after="0"/>
              <w:jc w:val="left"/>
            </w:pPr>
            <w:r>
              <w:rPr>
                <w:color w:val="50565b"/>
                <w:sz w:val="20"/>
              </w:rPr>
              <w:t>State cybersecurity coordination and incident response</w:t>
            </w:r>
          </w:p>
        </w:tc>
      </w:tr>
      <w:tr>
        <w:trPr>
          <w:trHeight w:val="360" w:hRule="atLeast"/>
        </w:trPr>
        <w:tc>
          <w:tcPr>
            <w:tcW w:w="0" w:type="auto"/>
            <w:vAlign w:val="center"/>
          </w:tcPr>
          <w:p>
            <w:pPr>
              <w:spacing w:before="0" w:after="0"/>
              <w:jc w:val="left"/>
            </w:pPr>
            <w:r>
              <w:rPr>
                <w:color w:val="50565b"/>
                <w:sz w:val="20"/>
              </w:rPr>
              <w:t>USBE Security Office</w:t>
            </w:r>
          </w:p>
        </w:tc>
        <w:tc>
          <w:tcPr>
            <w:tcW w:w="0" w:type="auto"/>
            <w:vAlign w:val="center"/>
          </w:tcPr>
          <w:p>
            <w:pPr>
              <w:spacing w:before="0" w:after="0"/>
              <w:jc w:val="left"/>
            </w:pPr>
            <w:r>
              <w:rPr>
                <w:color w:val="50565b"/>
                <w:sz w:val="20"/>
              </w:rPr>
              <w:t>schools.utah.gov/security</w:t>
            </w:r>
          </w:p>
        </w:tc>
        <w:tc>
          <w:tcPr>
            <w:tcW w:w="0" w:type="auto"/>
            <w:vAlign w:val="center"/>
          </w:tcPr>
          <w:p>
            <w:pPr>
              <w:spacing w:before="0" w:after="0"/>
              <w:jc w:val="left"/>
            </w:pPr>
            <w:r>
              <w:rPr>
                <w:color w:val="50565b"/>
                <w:sz w:val="20"/>
              </w:rPr>
              <w:t>Utah State Board of Education security resources</w:t>
            </w:r>
          </w:p>
        </w:tc>
      </w:tr>
      <w:tr>
        <w:trPr>
          <w:trHeight w:val="360" w:hRule="atLeast"/>
        </w:trPr>
        <w:tc>
          <w:tcPr>
            <w:tcW w:w="0" w:type="auto"/>
            <w:vAlign w:val="center"/>
          </w:tcPr>
          <w:p>
            <w:pPr>
              <w:spacing w:before="0" w:after="0"/>
              <w:jc w:val="left"/>
            </w:pPr>
            <w:r>
              <w:rPr>
                <w:color w:val="50565b"/>
                <w:sz w:val="20"/>
              </w:rPr>
              <w:t>Utah Education Network</w:t>
            </w:r>
          </w:p>
        </w:tc>
        <w:tc>
          <w:tcPr>
            <w:tcW w:w="0" w:type="auto"/>
            <w:vAlign w:val="center"/>
          </w:tcPr>
          <w:p>
            <w:pPr>
              <w:spacing w:before="0" w:after="0"/>
              <w:jc w:val="left"/>
            </w:pPr>
            <w:r>
              <w:rPr>
                <w:color w:val="50565b"/>
                <w:sz w:val="20"/>
              </w:rPr>
              <w:t>uen.org</w:t>
            </w:r>
          </w:p>
        </w:tc>
        <w:tc>
          <w:tcPr>
            <w:tcW w:w="0" w:type="auto"/>
            <w:vAlign w:val="center"/>
          </w:tcPr>
          <w:p>
            <w:pPr>
              <w:spacing w:before="0" w:after="0"/>
              <w:jc w:val="left"/>
            </w:pPr>
            <w:r>
              <w:rPr>
                <w:color w:val="50565b"/>
                <w:sz w:val="20"/>
              </w:rPr>
              <w:t>Network security services for Utah schools</w:t>
            </w:r>
          </w:p>
        </w:tc>
      </w:tr>
      <w:tr>
        <w:trPr>
          <w:trHeight w:val="360" w:hRule="atLeast"/>
        </w:trPr>
        <w:tc>
          <w:tcPr>
            <w:tcW w:w="0" w:type="auto"/>
            <w:vAlign w:val="center"/>
          </w:tcPr>
          <w:p>
            <w:pPr>
              <w:spacing w:before="0" w:after="0"/>
              <w:jc w:val="left"/>
            </w:pPr>
            <w:r>
              <w:rPr>
                <w:color w:val="50565b"/>
                <w:sz w:val="20"/>
              </w:rPr>
              <w:t>Utah State Archives</w:t>
            </w:r>
          </w:p>
        </w:tc>
        <w:tc>
          <w:tcPr>
            <w:tcW w:w="0" w:type="auto"/>
            <w:vAlign w:val="center"/>
          </w:tcPr>
          <w:p>
            <w:pPr>
              <w:spacing w:before="0" w:after="0"/>
              <w:jc w:val="left"/>
            </w:pPr>
            <w:r>
              <w:rPr>
                <w:color w:val="50565b"/>
                <w:sz w:val="20"/>
              </w:rPr>
              <w:t>archives.utah.gov</w:t>
            </w:r>
          </w:p>
        </w:tc>
        <w:tc>
          <w:tcPr>
            <w:tcW w:w="0" w:type="auto"/>
            <w:vAlign w:val="center"/>
          </w:tcPr>
          <w:p>
            <w:pPr>
              <w:spacing w:before="0" w:after="0"/>
              <w:jc w:val="left"/>
            </w:pPr>
            <w:r>
              <w:rPr>
                <w:color w:val="50565b"/>
                <w:sz w:val="20"/>
              </w:rPr>
              <w:t>Records management and data retention guidance</w:t>
            </w:r>
          </w:p>
        </w:tc>
      </w:tr>
    </w:tbl>
    <w:p>
      <w:pPr>
        <w:pStyle w:val="Heading2"/>
      </w:pPr>
      <w:r>
        <w:t>Framework Resources</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3000"/>
        <w:gridCol w:w="2500"/>
        <w:gridCol w:w="4500"/>
      </w:tblGrid>
      <w:tr>
        <w:trPr>
          <w:tblHeader/>
          <w:trHeight w:val="400" w:hRule="atLeast"/>
        </w:trPr>
        <w:tc>
          <w:tcPr>
            <w:tcW w:w="0" w:type="auto"/>
            <w:shd w:val="clear" w:fill="002855"/>
            <w:vAlign w:val="center"/>
          </w:tcPr>
          <w:p>
            <w:pPr>
              <w:spacing w:before="0" w:after="0"/>
              <w:jc w:val="left"/>
            </w:pPr>
            <w:r>
              <w:rPr>
                <w:b/>
                <w:color w:val="ffffff"/>
                <w:sz w:val="20"/>
              </w:rPr>
              <w:t>Resource</w:t>
            </w:r>
          </w:p>
        </w:tc>
        <w:tc>
          <w:tcPr>
            <w:tcW w:w="0" w:type="auto"/>
            <w:shd w:val="clear" w:fill="002855"/>
            <w:vAlign w:val="center"/>
          </w:tcPr>
          <w:p>
            <w:pPr>
              <w:spacing w:before="0" w:after="0"/>
              <w:jc w:val="left"/>
            </w:pPr>
            <w:r>
              <w:rPr>
                <w:b/>
                <w:color w:val="ffffff"/>
                <w:sz w:val="20"/>
              </w:rPr>
              <w:t>Website</w:t>
            </w:r>
          </w:p>
        </w:tc>
        <w:tc>
          <w:tcPr>
            <w:tcW w:w="0" w:type="auto"/>
            <w:shd w:val="clear" w:fill="002855"/>
            <w:vAlign w:val="center"/>
          </w:tcPr>
          <w:p>
            <w:pPr>
              <w:spacing w:before="0" w:after="0"/>
              <w:jc w:val="left"/>
            </w:pPr>
            <w:r>
              <w:rPr>
                <w:b/>
                <w:color w:val="ffffff"/>
                <w:sz w:val="20"/>
              </w:rPr>
              <w:t>Description</w:t>
            </w:r>
          </w:p>
        </w:tc>
      </w:tr>
      <w:tr>
        <w:trPr>
          <w:trHeight w:val="360" w:hRule="atLeast"/>
        </w:trPr>
        <w:tc>
          <w:tcPr>
            <w:tcW w:w="0" w:type="auto"/>
            <w:vAlign w:val="center"/>
          </w:tcPr>
          <w:p>
            <w:pPr>
              <w:spacing w:before="0" w:after="0"/>
              <w:jc w:val="left"/>
            </w:pPr>
            <w:r>
              <w:rPr>
                <w:color w:val="50565b"/>
                <w:sz w:val="20"/>
              </w:rPr>
              <w:t>CIS Controls v8</w:t>
            </w:r>
          </w:p>
        </w:tc>
        <w:tc>
          <w:tcPr>
            <w:tcW w:w="0" w:type="auto"/>
            <w:vAlign w:val="center"/>
          </w:tcPr>
          <w:p>
            <w:pPr>
              <w:spacing w:before="0" w:after="0"/>
              <w:jc w:val="left"/>
            </w:pPr>
            <w:r>
              <w:rPr>
                <w:color w:val="50565b"/>
                <w:sz w:val="20"/>
              </w:rPr>
              <w:t>cisecurity.org/controls</w:t>
            </w:r>
          </w:p>
        </w:tc>
        <w:tc>
          <w:tcPr>
            <w:tcW w:w="0" w:type="auto"/>
            <w:vAlign w:val="center"/>
          </w:tcPr>
          <w:p>
            <w:pPr>
              <w:spacing w:before="0" w:after="0"/>
              <w:jc w:val="left"/>
            </w:pPr>
            <w:r>
              <w:rPr>
                <w:color w:val="50565b"/>
                <w:sz w:val="20"/>
              </w:rPr>
              <w:t>Downloadable controls and implementation guidance</w:t>
            </w:r>
          </w:p>
        </w:tc>
      </w:tr>
      <w:tr>
        <w:trPr>
          <w:trHeight w:val="360" w:hRule="atLeast"/>
        </w:trPr>
        <w:tc>
          <w:tcPr>
            <w:tcW w:w="0" w:type="auto"/>
            <w:vAlign w:val="center"/>
          </w:tcPr>
          <w:p>
            <w:pPr>
              <w:spacing w:before="0" w:after="0"/>
              <w:jc w:val="left"/>
            </w:pPr>
            <w:r>
              <w:rPr>
                <w:color w:val="50565b"/>
                <w:sz w:val="20"/>
              </w:rPr>
              <w:t>CIS Benchmarks</w:t>
            </w:r>
          </w:p>
        </w:tc>
        <w:tc>
          <w:tcPr>
            <w:tcW w:w="0" w:type="auto"/>
            <w:vAlign w:val="center"/>
          </w:tcPr>
          <w:p>
            <w:pPr>
              <w:spacing w:before="0" w:after="0"/>
              <w:jc w:val="left"/>
            </w:pPr>
            <w:r>
              <w:rPr>
                <w:color w:val="50565b"/>
                <w:sz w:val="20"/>
              </w:rPr>
              <w:t>cisecurity.org/cis-benchmarks</w:t>
            </w:r>
          </w:p>
        </w:tc>
        <w:tc>
          <w:tcPr>
            <w:tcW w:w="0" w:type="auto"/>
            <w:vAlign w:val="center"/>
          </w:tcPr>
          <w:p>
            <w:pPr>
              <w:spacing w:before="0" w:after="0"/>
              <w:jc w:val="left"/>
            </w:pPr>
            <w:r>
              <w:rPr>
                <w:color w:val="50565b"/>
                <w:sz w:val="20"/>
              </w:rPr>
              <w:t>Security configuration standards</w:t>
            </w:r>
          </w:p>
        </w:tc>
      </w:tr>
      <w:tr>
        <w:trPr>
          <w:trHeight w:val="360" w:hRule="atLeast"/>
        </w:trPr>
        <w:tc>
          <w:tcPr>
            <w:tcW w:w="0" w:type="auto"/>
            <w:vAlign w:val="center"/>
          </w:tcPr>
          <w:p>
            <w:pPr>
              <w:spacing w:before="0" w:after="0"/>
              <w:jc w:val="left"/>
            </w:pPr>
            <w:r>
              <w:rPr>
                <w:color w:val="50565b"/>
                <w:sz w:val="20"/>
              </w:rPr>
              <w:t>NIST SP 800-171</w:t>
            </w:r>
          </w:p>
        </w:tc>
        <w:tc>
          <w:tcPr>
            <w:tcW w:w="0" w:type="auto"/>
            <w:vAlign w:val="center"/>
          </w:tcPr>
          <w:p>
            <w:pPr>
              <w:spacing w:before="0" w:after="0"/>
              <w:jc w:val="left"/>
            </w:pPr>
            <w:r>
              <w:rPr>
                <w:color w:val="50565b"/>
                <w:sz w:val="20"/>
              </w:rPr>
              <w:t>nist.gov/privacy-framework</w:t>
            </w:r>
          </w:p>
        </w:tc>
        <w:tc>
          <w:tcPr>
            <w:tcW w:w="0" w:type="auto"/>
            <w:vAlign w:val="center"/>
          </w:tcPr>
          <w:p>
            <w:pPr>
              <w:spacing w:before="0" w:after="0"/>
              <w:jc w:val="left"/>
            </w:pPr>
            <w:r>
              <w:rPr>
                <w:color w:val="50565b"/>
                <w:sz w:val="20"/>
              </w:rPr>
              <w:t>Protecting Controlled Unclassified Information</w:t>
            </w:r>
          </w:p>
        </w:tc>
      </w:tr>
      <w:tr>
        <w:trPr>
          <w:trHeight w:val="360" w:hRule="atLeast"/>
        </w:trPr>
        <w:tc>
          <w:tcPr>
            <w:tcW w:w="0" w:type="auto"/>
            <w:vAlign w:val="center"/>
          </w:tcPr>
          <w:p>
            <w:pPr>
              <w:spacing w:before="0" w:after="0"/>
              <w:jc w:val="left"/>
            </w:pPr>
            <w:r>
              <w:rPr>
                <w:color w:val="50565b"/>
                <w:sz w:val="20"/>
              </w:rPr>
              <w:t>SANS Security Policy Templates</w:t>
            </w:r>
          </w:p>
        </w:tc>
        <w:tc>
          <w:tcPr>
            <w:tcW w:w="0" w:type="auto"/>
            <w:vAlign w:val="center"/>
          </w:tcPr>
          <w:p>
            <w:pPr>
              <w:spacing w:before="0" w:after="0"/>
              <w:jc w:val="left"/>
            </w:pPr>
            <w:r>
              <w:rPr>
                <w:color w:val="50565b"/>
                <w:sz w:val="20"/>
              </w:rPr>
              <w:t>sans.org/security-resources</w:t>
            </w:r>
          </w:p>
        </w:tc>
        <w:tc>
          <w:tcPr>
            <w:tcW w:w="0" w:type="auto"/>
            <w:vAlign w:val="center"/>
          </w:tcPr>
          <w:p>
            <w:pPr>
              <w:spacing w:before="0" w:after="0"/>
              <w:jc w:val="left"/>
            </w:pPr>
            <w:r>
              <w:rPr>
                <w:color w:val="50565b"/>
                <w:sz w:val="20"/>
              </w:rPr>
              <w:t>Sample security policies and procedures</w:t>
            </w:r>
          </w:p>
        </w:tc>
      </w:tr>
    </w:tbl>
    <w:p>
      <w:pPr>
        <w:pStyle w:val="Heading2"/>
      </w:pPr>
      <w:r>
        <w:t>Training Resources</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3000"/>
        <w:gridCol w:w="2500"/>
        <w:gridCol w:w="4500"/>
      </w:tblGrid>
      <w:tr>
        <w:trPr>
          <w:tblHeader/>
          <w:trHeight w:val="400" w:hRule="atLeast"/>
        </w:trPr>
        <w:tc>
          <w:tcPr>
            <w:tcW w:w="0" w:type="auto"/>
            <w:shd w:val="clear" w:fill="002855"/>
            <w:vAlign w:val="center"/>
          </w:tcPr>
          <w:p>
            <w:pPr>
              <w:spacing w:before="0" w:after="0"/>
              <w:jc w:val="left"/>
            </w:pPr>
            <w:r>
              <w:rPr>
                <w:b/>
                <w:color w:val="ffffff"/>
                <w:sz w:val="20"/>
              </w:rPr>
              <w:t>Resource</w:t>
            </w:r>
          </w:p>
        </w:tc>
        <w:tc>
          <w:tcPr>
            <w:tcW w:w="0" w:type="auto"/>
            <w:shd w:val="clear" w:fill="002855"/>
            <w:vAlign w:val="center"/>
          </w:tcPr>
          <w:p>
            <w:pPr>
              <w:spacing w:before="0" w:after="0"/>
              <w:jc w:val="left"/>
            </w:pPr>
            <w:r>
              <w:rPr>
                <w:b/>
                <w:color w:val="ffffff"/>
                <w:sz w:val="20"/>
              </w:rPr>
              <w:t>Website</w:t>
            </w:r>
          </w:p>
        </w:tc>
        <w:tc>
          <w:tcPr>
            <w:tcW w:w="0" w:type="auto"/>
            <w:shd w:val="clear" w:fill="002855"/>
            <w:vAlign w:val="center"/>
          </w:tcPr>
          <w:p>
            <w:pPr>
              <w:spacing w:before="0" w:after="0"/>
              <w:jc w:val="left"/>
            </w:pPr>
            <w:r>
              <w:rPr>
                <w:b/>
                <w:color w:val="ffffff"/>
                <w:sz w:val="20"/>
              </w:rPr>
              <w:t>Description</w:t>
            </w:r>
          </w:p>
        </w:tc>
      </w:tr>
      <w:tr>
        <w:trPr>
          <w:trHeight w:val="360" w:hRule="atLeast"/>
        </w:trPr>
        <w:tc>
          <w:tcPr>
            <w:tcW w:w="0" w:type="auto"/>
            <w:vAlign w:val="center"/>
          </w:tcPr>
          <w:p>
            <w:pPr>
              <w:spacing w:before="0" w:after="0"/>
              <w:jc w:val="left"/>
            </w:pPr>
            <w:r>
              <w:rPr>
                <w:color w:val="50565b"/>
                <w:sz w:val="20"/>
              </w:rPr>
              <w:t>CISA Cybersecurity Training</w:t>
            </w:r>
          </w:p>
        </w:tc>
        <w:tc>
          <w:tcPr>
            <w:tcW w:w="0" w:type="auto"/>
            <w:vAlign w:val="center"/>
          </w:tcPr>
          <w:p>
            <w:pPr>
              <w:spacing w:before="0" w:after="0"/>
              <w:jc w:val="left"/>
            </w:pPr>
            <w:r>
              <w:rPr>
                <w:color w:val="50565b"/>
                <w:sz w:val="20"/>
              </w:rPr>
              <w:t>cisa.gov/training</w:t>
            </w:r>
          </w:p>
        </w:tc>
        <w:tc>
          <w:tcPr>
            <w:tcW w:w="0" w:type="auto"/>
            <w:vAlign w:val="center"/>
          </w:tcPr>
          <w:p>
            <w:pPr>
              <w:spacing w:before="0" w:after="0"/>
              <w:jc w:val="left"/>
            </w:pPr>
            <w:r>
              <w:rPr>
                <w:color w:val="50565b"/>
                <w:sz w:val="20"/>
              </w:rPr>
              <w:t>Free federal cybersecurity training</w:t>
            </w:r>
          </w:p>
        </w:tc>
      </w:tr>
      <w:tr>
        <w:trPr>
          <w:trHeight w:val="360" w:hRule="atLeast"/>
        </w:trPr>
        <w:tc>
          <w:tcPr>
            <w:tcW w:w="0" w:type="auto"/>
            <w:vAlign w:val="center"/>
          </w:tcPr>
          <w:p>
            <w:pPr>
              <w:spacing w:before="0" w:after="0"/>
              <w:jc w:val="left"/>
            </w:pPr>
            <w:r>
              <w:rPr>
                <w:color w:val="50565b"/>
                <w:sz w:val="20"/>
              </w:rPr>
              <w:t>KnowBe4 Education</w:t>
            </w:r>
          </w:p>
        </w:tc>
        <w:tc>
          <w:tcPr>
            <w:tcW w:w="0" w:type="auto"/>
            <w:vAlign w:val="center"/>
          </w:tcPr>
          <w:p>
            <w:pPr>
              <w:spacing w:before="0" w:after="0"/>
              <w:jc w:val="left"/>
            </w:pPr>
            <w:r>
              <w:rPr>
                <w:color w:val="50565b"/>
                <w:sz w:val="20"/>
              </w:rPr>
              <w:t>knowbe4.com</w:t>
            </w:r>
          </w:p>
        </w:tc>
        <w:tc>
          <w:tcPr>
            <w:tcW w:w="0" w:type="auto"/>
            <w:vAlign w:val="center"/>
          </w:tcPr>
          <w:p>
            <w:pPr>
              <w:spacing w:before="0" w:after="0"/>
              <w:jc w:val="left"/>
            </w:pPr>
            <w:r>
              <w:rPr>
                <w:color w:val="50565b"/>
                <w:sz w:val="20"/>
              </w:rPr>
              <w:t>Security awareness training platform</w:t>
            </w:r>
          </w:p>
        </w:tc>
      </w:tr>
      <w:tr>
        <w:trPr>
          <w:trHeight w:val="360" w:hRule="atLeast"/>
        </w:trPr>
        <w:tc>
          <w:tcPr>
            <w:tcW w:w="0" w:type="auto"/>
            <w:vAlign w:val="center"/>
          </w:tcPr>
          <w:p>
            <w:pPr>
              <w:spacing w:before="0" w:after="0"/>
              <w:jc w:val="left"/>
            </w:pPr>
            <w:r>
              <w:rPr>
                <w:color w:val="50565b"/>
                <w:sz w:val="20"/>
              </w:rPr>
              <w:t>Proofpoint Security Awareness</w:t>
            </w:r>
          </w:p>
        </w:tc>
        <w:tc>
          <w:tcPr>
            <w:tcW w:w="0" w:type="auto"/>
            <w:vAlign w:val="center"/>
          </w:tcPr>
          <w:p>
            <w:pPr>
              <w:spacing w:before="0" w:after="0"/>
              <w:jc w:val="left"/>
            </w:pPr>
            <w:r>
              <w:rPr>
                <w:color w:val="50565b"/>
                <w:sz w:val="20"/>
              </w:rPr>
              <w:t>proofpoint.com</w:t>
            </w:r>
          </w:p>
        </w:tc>
        <w:tc>
          <w:tcPr>
            <w:tcW w:w="0" w:type="auto"/>
            <w:vAlign w:val="center"/>
          </w:tcPr>
          <w:p>
            <w:pPr>
              <w:spacing w:before="0" w:after="0"/>
              <w:jc w:val="left"/>
            </w:pPr>
            <w:r>
              <w:rPr>
                <w:color w:val="50565b"/>
                <w:sz w:val="20"/>
              </w:rPr>
              <w:t>Phishing simulation and training</w:t>
            </w:r>
          </w:p>
        </w:tc>
      </w:tr>
      <w:tr>
        <w:trPr>
          <w:trHeight w:val="360" w:hRule="atLeast"/>
        </w:trPr>
        <w:tc>
          <w:tcPr>
            <w:tcW w:w="0" w:type="auto"/>
            <w:vAlign w:val="center"/>
          </w:tcPr>
          <w:p>
            <w:pPr>
              <w:spacing w:before="0" w:after="0"/>
              <w:jc w:val="left"/>
            </w:pPr>
            <w:r>
              <w:rPr>
                <w:color w:val="50565b"/>
                <w:sz w:val="20"/>
              </w:rPr>
              <w:t>SANS Cyber Aces</w:t>
            </w:r>
          </w:p>
        </w:tc>
        <w:tc>
          <w:tcPr>
            <w:tcW w:w="0" w:type="auto"/>
            <w:vAlign w:val="center"/>
          </w:tcPr>
          <w:p>
            <w:pPr>
              <w:spacing w:before="0" w:after="0"/>
              <w:jc w:val="left"/>
            </w:pPr>
            <w:r>
              <w:rPr>
                <w:color w:val="50565b"/>
                <w:sz w:val="20"/>
              </w:rPr>
              <w:t>cyberaces.org</w:t>
            </w:r>
          </w:p>
        </w:tc>
        <w:tc>
          <w:tcPr>
            <w:tcW w:w="0" w:type="auto"/>
            <w:vAlign w:val="center"/>
          </w:tcPr>
          <w:p>
            <w:pPr>
              <w:spacing w:before="0" w:after="0"/>
              <w:jc w:val="left"/>
            </w:pPr>
            <w:r>
              <w:rPr>
                <w:color w:val="50565b"/>
                <w:sz w:val="20"/>
              </w:rPr>
              <w:t>Free cybersecurity fundamentals training</w:t>
            </w:r>
          </w:p>
        </w:tc>
      </w:tr>
    </w:tbl>
    <w:p>
      <w:pPr>
        <w:pStyle w:val="Heading1"/>
      </w:pPr>
      <w:bookmarkStart w:name="_Toc015" w:id="015"/>
      <w:r>
        <w:t>Compliance Calendar</w:t>
      </w:r>
      <w:bookmarkEnd w:id="015"/>
    </w:p>
    <w:p>
      <w:r>
        <w:t>This calendar outlines key dates and recurring activities for maintaining HB 44 compliance. Adjust dates based on your fiscal year and organizational needs.</w:t>
      </w:r>
    </w:p>
    <w:p>
      <w:pPr>
        <w:pStyle w:val="Heading2"/>
      </w:pPr>
      <w:r>
        <w:t>2025-2026 Implementation Timeline</w:t>
      </w:r>
    </w:p>
    <w:tbl>
      <w:tblPr>
        <w:tblW w:w="5000" w:type="pct"/>
        <w:tblBorders>
          <w:top w:val="single" w:color="002855" w:sz="8"/>
          <w:left w:val="nil"/>
          <w:bottom w:val="single" w:color="002855" w:sz="8"/>
          <w:right w:val="nil"/>
          <w:insideH w:val="single" w:color="dddddd" w:sz="4"/>
          <w:insideV w:val="nil"/>
        </w:tblBorders>
        <w:tblCellMar>
          <w:top w:w="80" w:type="dxa"/>
          <w:left w:w="120" w:type="dxa"/>
          <w:bottom w:w="80" w:type="dxa"/>
          <w:right w:w="120" w:type="dxa"/>
        </w:tblCellMar>
      </w:tblPr>
      <w:tblGrid>
        <w:gridCol w:w="2000"/>
        <w:gridCol w:w="5000"/>
        <w:gridCol w:w="3000"/>
      </w:tblGrid>
      <w:tr>
        <w:trPr>
          <w:tblHeader/>
          <w:trHeight w:val="400" w:hRule="atLeast"/>
        </w:trPr>
        <w:tc>
          <w:tcPr>
            <w:tcW w:w="0" w:type="auto"/>
            <w:shd w:val="clear" w:fill="002855"/>
            <w:vAlign w:val="center"/>
          </w:tcPr>
          <w:p>
            <w:pPr>
              <w:spacing w:before="0" w:after="0"/>
              <w:jc w:val="left"/>
            </w:pPr>
            <w:r>
              <w:rPr>
                <w:b/>
                <w:color w:val="ffffff"/>
                <w:sz w:val="20"/>
              </w:rPr>
              <w:t>Date</w:t>
            </w:r>
          </w:p>
        </w:tc>
        <w:tc>
          <w:tcPr>
            <w:tcW w:w="0" w:type="auto"/>
            <w:shd w:val="clear" w:fill="002855"/>
            <w:vAlign w:val="center"/>
          </w:tcPr>
          <w:p>
            <w:pPr>
              <w:spacing w:before="0" w:after="0"/>
              <w:jc w:val="left"/>
            </w:pPr>
            <w:r>
              <w:rPr>
                <w:b/>
                <w:color w:val="ffffff"/>
                <w:sz w:val="20"/>
              </w:rPr>
              <w:t>Activity</w:t>
            </w:r>
          </w:p>
        </w:tc>
        <w:tc>
          <w:tcPr>
            <w:tcW w:w="0" w:type="auto"/>
            <w:shd w:val="clear" w:fill="002855"/>
            <w:vAlign w:val="center"/>
          </w:tcPr>
          <w:p>
            <w:pPr>
              <w:spacing w:before="0" w:after="0"/>
              <w:jc w:val="left"/>
            </w:pPr>
            <w:r>
              <w:rPr>
                <w:b/>
                <w:color w:val="ffffff"/>
                <w:sz w:val="20"/>
              </w:rPr>
              <w:t>Responsible Party</w:t>
            </w:r>
          </w:p>
        </w:tc>
      </w:tr>
      <w:tr>
        <w:trPr>
          <w:trHeight w:val="360" w:hRule="atLeast"/>
        </w:trPr>
        <w:tc>
          <w:tcPr>
            <w:tcW w:w="0" w:type="auto"/>
            <w:vAlign w:val="center"/>
          </w:tcPr>
          <w:p>
            <w:pPr>
              <w:spacing w:before="0" w:after="0"/>
              <w:jc w:val="left"/>
            </w:pPr>
            <w:r>
              <w:rPr>
                <w:color w:val="50565b"/>
                <w:sz w:val="20"/>
              </w:rPr>
              <w:t>July 2025</w:t>
            </w:r>
          </w:p>
        </w:tc>
        <w:tc>
          <w:tcPr>
            <w:tcW w:w="0" w:type="auto"/>
            <w:vAlign w:val="center"/>
          </w:tcPr>
          <w:p>
            <w:pPr>
              <w:spacing w:before="0" w:after="0"/>
              <w:jc w:val="left"/>
            </w:pPr>
            <w:r>
              <w:rPr>
                <w:color w:val="50565b"/>
                <w:sz w:val="20"/>
              </w:rPr>
              <w:t>Complete asset inventory</w:t>
            </w:r>
          </w:p>
        </w:tc>
        <w:tc>
          <w:tcPr>
            <w:tcW w:w="0" w:type="auto"/>
            <w:vAlign w:val="center"/>
          </w:tcPr>
          <w:p>
            <w:pPr>
              <w:spacing w:before="0" w:after="0"/>
              <w:jc w:val="left"/>
            </w:pPr>
            <w:r>
              <w:rPr>
                <w:color w:val="50565b"/>
                <w:sz w:val="20"/>
              </w:rPr>
              <w:t>IT Director</w:t>
            </w:r>
          </w:p>
        </w:tc>
      </w:tr>
      <w:tr>
        <w:trPr>
          <w:trHeight w:val="360" w:hRule="atLeast"/>
        </w:trPr>
        <w:tc>
          <w:tcPr>
            <w:tcW w:w="0" w:type="auto"/>
            <w:vAlign w:val="center"/>
          </w:tcPr>
          <w:p>
            <w:pPr>
              <w:spacing w:before="0" w:after="0"/>
              <w:jc w:val="left"/>
            </w:pPr>
            <w:r>
              <w:rPr>
                <w:color w:val="50565b"/>
                <w:sz w:val="20"/>
              </w:rPr>
              <w:t>August 2025</w:t>
            </w:r>
          </w:p>
        </w:tc>
        <w:tc>
          <w:tcPr>
            <w:tcW w:w="0" w:type="auto"/>
            <w:vAlign w:val="center"/>
          </w:tcPr>
          <w:p>
            <w:pPr>
              <w:spacing w:before="0" w:after="0"/>
              <w:jc w:val="left"/>
            </w:pPr>
            <w:r>
              <w:rPr>
                <w:color w:val="50565b"/>
                <w:sz w:val="20"/>
              </w:rPr>
              <w:t>Gap analysis and framework selection</w:t>
            </w:r>
          </w:p>
        </w:tc>
        <w:tc>
          <w:tcPr>
            <w:tcW w:w="0" w:type="auto"/>
            <w:vAlign w:val="center"/>
          </w:tcPr>
          <w:p>
            <w:pPr>
              <w:spacing w:before="0" w:after="0"/>
              <w:jc w:val="left"/>
            </w:pPr>
            <w:r>
              <w:rPr>
                <w:color w:val="50565b"/>
                <w:sz w:val="20"/>
              </w:rPr>
              <w:t>ISO/IT Director</w:t>
            </w:r>
          </w:p>
        </w:tc>
      </w:tr>
      <w:tr>
        <w:trPr>
          <w:trHeight w:val="360" w:hRule="atLeast"/>
        </w:trPr>
        <w:tc>
          <w:tcPr>
            <w:tcW w:w="0" w:type="auto"/>
            <w:vAlign w:val="center"/>
          </w:tcPr>
          <w:p>
            <w:pPr>
              <w:spacing w:before="0" w:after="0"/>
              <w:jc w:val="left"/>
            </w:pPr>
            <w:r>
              <w:rPr>
                <w:color w:val="50565b"/>
                <w:sz w:val="20"/>
              </w:rPr>
              <w:t>September 2025</w:t>
            </w:r>
          </w:p>
        </w:tc>
        <w:tc>
          <w:tcPr>
            <w:tcW w:w="0" w:type="auto"/>
            <w:vAlign w:val="center"/>
          </w:tcPr>
          <w:p>
            <w:pPr>
              <w:spacing w:before="0" w:after="0"/>
              <w:jc w:val="left"/>
            </w:pPr>
            <w:r>
              <w:rPr>
                <w:color w:val="50565b"/>
                <w:sz w:val="20"/>
              </w:rPr>
              <w:t>Begin technical control implementation</w:t>
            </w:r>
          </w:p>
        </w:tc>
        <w:tc>
          <w:tcPr>
            <w:tcW w:w="0" w:type="auto"/>
            <w:vAlign w:val="center"/>
          </w:tcPr>
          <w:p>
            <w:pPr>
              <w:spacing w:before="0" w:after="0"/>
              <w:jc w:val="left"/>
            </w:pPr>
            <w:r>
              <w:rPr>
                <w:color w:val="50565b"/>
                <w:sz w:val="20"/>
              </w:rPr>
              <w:t>IT Team</w:t>
            </w:r>
          </w:p>
        </w:tc>
      </w:tr>
      <w:tr>
        <w:trPr>
          <w:trHeight w:val="360" w:hRule="atLeast"/>
        </w:trPr>
        <w:tc>
          <w:tcPr>
            <w:tcW w:w="0" w:type="auto"/>
            <w:vAlign w:val="center"/>
          </w:tcPr>
          <w:p>
            <w:pPr>
              <w:spacing w:before="0" w:after="0"/>
              <w:jc w:val="left"/>
            </w:pPr>
            <w:r>
              <w:rPr>
                <w:color w:val="50565b"/>
                <w:sz w:val="20"/>
              </w:rPr>
              <w:t>October 2025</w:t>
            </w:r>
          </w:p>
        </w:tc>
        <w:tc>
          <w:tcPr>
            <w:tcW w:w="0" w:type="auto"/>
            <w:vAlign w:val="center"/>
          </w:tcPr>
          <w:p>
            <w:pPr>
              <w:spacing w:before="0" w:after="0"/>
              <w:jc w:val="left"/>
            </w:pPr>
            <w:r>
              <w:rPr>
                <w:color w:val="50565b"/>
                <w:sz w:val="20"/>
              </w:rPr>
              <w:t>Develop incident response plan</w:t>
            </w:r>
          </w:p>
        </w:tc>
        <w:tc>
          <w:tcPr>
            <w:tcW w:w="0" w:type="auto"/>
            <w:vAlign w:val="center"/>
          </w:tcPr>
          <w:p>
            <w:pPr>
              <w:spacing w:before="0" w:after="0"/>
              <w:jc w:val="left"/>
            </w:pPr>
            <w:r>
              <w:rPr>
                <w:color w:val="50565b"/>
                <w:sz w:val="20"/>
              </w:rPr>
              <w:t>ISO/Admin</w:t>
            </w:r>
          </w:p>
        </w:tc>
      </w:tr>
      <w:tr>
        <w:trPr>
          <w:trHeight w:val="360" w:hRule="atLeast"/>
        </w:trPr>
        <w:tc>
          <w:tcPr>
            <w:tcW w:w="0" w:type="auto"/>
            <w:vAlign w:val="center"/>
          </w:tcPr>
          <w:p>
            <w:pPr>
              <w:spacing w:before="0" w:after="0"/>
              <w:jc w:val="left"/>
            </w:pPr>
            <w:r>
              <w:rPr>
                <w:color w:val="50565b"/>
                <w:sz w:val="20"/>
              </w:rPr>
              <w:t>November 2025</w:t>
            </w:r>
          </w:p>
        </w:tc>
        <w:tc>
          <w:tcPr>
            <w:tcW w:w="0" w:type="auto"/>
            <w:vAlign w:val="center"/>
          </w:tcPr>
          <w:p>
            <w:pPr>
              <w:spacing w:before="0" w:after="0"/>
              <w:jc w:val="left"/>
            </w:pPr>
            <w:r>
              <w:rPr>
                <w:color w:val="50565b"/>
                <w:sz w:val="20"/>
              </w:rPr>
              <w:t>Launch security awareness training</w:t>
            </w:r>
          </w:p>
        </w:tc>
        <w:tc>
          <w:tcPr>
            <w:tcW w:w="0" w:type="auto"/>
            <w:vAlign w:val="center"/>
          </w:tcPr>
          <w:p>
            <w:pPr>
              <w:spacing w:before="0" w:after="0"/>
              <w:jc w:val="left"/>
            </w:pPr>
            <w:r>
              <w:rPr>
                <w:color w:val="50565b"/>
                <w:sz w:val="20"/>
              </w:rPr>
              <w:t>ISO/HR</w:t>
            </w:r>
          </w:p>
        </w:tc>
      </w:tr>
      <w:tr>
        <w:trPr>
          <w:trHeight w:val="360" w:hRule="atLeast"/>
        </w:trPr>
        <w:tc>
          <w:tcPr>
            <w:tcW w:w="0" w:type="auto"/>
            <w:vAlign w:val="center"/>
          </w:tcPr>
          <w:p>
            <w:pPr>
              <w:spacing w:before="0" w:after="0"/>
              <w:jc w:val="left"/>
            </w:pPr>
            <w:r>
              <w:rPr>
                <w:color w:val="50565b"/>
                <w:sz w:val="20"/>
              </w:rPr>
              <w:t>December 2025</w:t>
            </w:r>
          </w:p>
        </w:tc>
        <w:tc>
          <w:tcPr>
            <w:tcW w:w="0" w:type="auto"/>
            <w:vAlign w:val="center"/>
          </w:tcPr>
          <w:p>
            <w:pPr>
              <w:spacing w:before="0" w:after="0"/>
              <w:jc w:val="left"/>
            </w:pPr>
            <w:r>
              <w:rPr>
                <w:color w:val="50565b"/>
                <w:sz w:val="20"/>
              </w:rPr>
              <w:t>Vendor security assessments</w:t>
            </w:r>
          </w:p>
        </w:tc>
        <w:tc>
          <w:tcPr>
            <w:tcW w:w="0" w:type="auto"/>
            <w:vAlign w:val="center"/>
          </w:tcPr>
          <w:p>
            <w:pPr>
              <w:spacing w:before="0" w:after="0"/>
              <w:jc w:val="left"/>
            </w:pPr>
            <w:r>
              <w:rPr>
                <w:color w:val="50565b"/>
                <w:sz w:val="20"/>
              </w:rPr>
              <w:t>ISO/Procurement</w:t>
            </w:r>
          </w:p>
        </w:tc>
      </w:tr>
      <w:tr>
        <w:trPr>
          <w:trHeight w:val="360" w:hRule="atLeast"/>
        </w:trPr>
        <w:tc>
          <w:tcPr>
            <w:tcW w:w="0" w:type="auto"/>
            <w:vAlign w:val="center"/>
          </w:tcPr>
          <w:p>
            <w:pPr>
              <w:spacing w:before="0" w:after="0"/>
              <w:jc w:val="left"/>
            </w:pPr>
            <w:r>
              <w:rPr>
                <w:color w:val="50565b"/>
                <w:sz w:val="20"/>
              </w:rPr>
              <w:t>January 2026</w:t>
            </w:r>
          </w:p>
        </w:tc>
        <w:tc>
          <w:tcPr>
            <w:tcW w:w="0" w:type="auto"/>
            <w:vAlign w:val="center"/>
          </w:tcPr>
          <w:p>
            <w:pPr>
              <w:spacing w:before="0" w:after="0"/>
              <w:jc w:val="left"/>
            </w:pPr>
            <w:r>
              <w:rPr>
                <w:color w:val="50565b"/>
                <w:sz w:val="20"/>
              </w:rPr>
              <w:t>Complete risk assessment</w:t>
            </w:r>
          </w:p>
        </w:tc>
        <w:tc>
          <w:tcPr>
            <w:tcW w:w="0" w:type="auto"/>
            <w:vAlign w:val="center"/>
          </w:tcPr>
          <w:p>
            <w:pPr>
              <w:spacing w:before="0" w:after="0"/>
              <w:jc w:val="left"/>
            </w:pPr>
            <w:r>
              <w:rPr>
                <w:color w:val="50565b"/>
                <w:sz w:val="20"/>
              </w:rPr>
              <w:t>ISO</w:t>
            </w:r>
          </w:p>
        </w:tc>
      </w:tr>
      <w:tr>
        <w:trPr>
          <w:trHeight w:val="360" w:hRule="atLeast"/>
        </w:trPr>
        <w:tc>
          <w:tcPr>
            <w:tcW w:w="0" w:type="auto"/>
            <w:vAlign w:val="center"/>
          </w:tcPr>
          <w:p>
            <w:pPr>
              <w:spacing w:before="0" w:after="0"/>
              <w:jc w:val="left"/>
            </w:pPr>
            <w:r>
              <w:rPr>
                <w:color w:val="50565b"/>
                <w:sz w:val="20"/>
              </w:rPr>
              <w:t>February 2026</w:t>
            </w:r>
          </w:p>
        </w:tc>
        <w:tc>
          <w:tcPr>
            <w:tcW w:w="0" w:type="auto"/>
            <w:vAlign w:val="center"/>
          </w:tcPr>
          <w:p>
            <w:pPr>
              <w:spacing w:before="0" w:after="0"/>
              <w:jc w:val="left"/>
            </w:pPr>
            <w:r>
              <w:rPr>
                <w:color w:val="50565b"/>
                <w:sz w:val="20"/>
              </w:rPr>
              <w:t>Policy documentation review</w:t>
            </w:r>
          </w:p>
        </w:tc>
        <w:tc>
          <w:tcPr>
            <w:tcW w:w="0" w:type="auto"/>
            <w:vAlign w:val="center"/>
          </w:tcPr>
          <w:p>
            <w:pPr>
              <w:spacing w:before="0" w:after="0"/>
              <w:jc w:val="left"/>
            </w:pPr>
            <w:r>
              <w:rPr>
                <w:color w:val="50565b"/>
                <w:sz w:val="20"/>
              </w:rPr>
              <w:t>ISO/Legal</w:t>
            </w:r>
          </w:p>
        </w:tc>
      </w:tr>
      <w:tr>
        <w:trPr>
          <w:trHeight w:val="360" w:hRule="atLeast"/>
        </w:trPr>
        <w:tc>
          <w:tcPr>
            <w:tcW w:w="0" w:type="auto"/>
            <w:vAlign w:val="center"/>
          </w:tcPr>
          <w:p>
            <w:pPr>
              <w:spacing w:before="0" w:after="0"/>
              <w:jc w:val="left"/>
            </w:pPr>
            <w:r>
              <w:rPr>
                <w:color w:val="50565b"/>
                <w:sz w:val="20"/>
              </w:rPr>
              <w:t>March 2026</w:t>
            </w:r>
          </w:p>
        </w:tc>
        <w:tc>
          <w:tcPr>
            <w:tcW w:w="0" w:type="auto"/>
            <w:vAlign w:val="center"/>
          </w:tcPr>
          <w:p>
            <w:pPr>
              <w:spacing w:before="0" w:after="0"/>
              <w:jc w:val="left"/>
            </w:pPr>
            <w:r>
              <w:rPr>
                <w:color w:val="50565b"/>
                <w:sz w:val="20"/>
              </w:rPr>
              <w:t>Penetration testing (optional)</w:t>
            </w:r>
          </w:p>
        </w:tc>
        <w:tc>
          <w:tcPr>
            <w:tcW w:w="0" w:type="auto"/>
            <w:vAlign w:val="center"/>
          </w:tcPr>
          <w:p>
            <w:pPr>
              <w:spacing w:before="0" w:after="0"/>
              <w:jc w:val="left"/>
            </w:pPr>
            <w:r>
              <w:rPr>
                <w:color w:val="50565b"/>
                <w:sz w:val="20"/>
              </w:rPr>
              <w:t>IT Director</w:t>
            </w:r>
          </w:p>
        </w:tc>
      </w:tr>
      <w:tr>
        <w:trPr>
          <w:trHeight w:val="360" w:hRule="atLeast"/>
        </w:trPr>
        <w:tc>
          <w:tcPr>
            <w:tcW w:w="0" w:type="auto"/>
            <w:vAlign w:val="center"/>
          </w:tcPr>
          <w:p>
            <w:pPr>
              <w:spacing w:before="0" w:after="0"/>
              <w:jc w:val="left"/>
            </w:pPr>
            <w:r>
              <w:rPr>
                <w:color w:val="50565b"/>
                <w:sz w:val="20"/>
              </w:rPr>
              <w:t>April 2026</w:t>
            </w:r>
          </w:p>
        </w:tc>
        <w:tc>
          <w:tcPr>
            <w:tcW w:w="0" w:type="auto"/>
            <w:vAlign w:val="center"/>
          </w:tcPr>
          <w:p>
            <w:pPr>
              <w:spacing w:before="0" w:after="0"/>
              <w:jc w:val="left"/>
            </w:pPr>
            <w:r>
              <w:rPr>
                <w:color w:val="50565b"/>
                <w:sz w:val="20"/>
              </w:rPr>
              <w:t>Compliance gap remediation</w:t>
            </w:r>
          </w:p>
        </w:tc>
        <w:tc>
          <w:tcPr>
            <w:tcW w:w="0" w:type="auto"/>
            <w:vAlign w:val="center"/>
          </w:tcPr>
          <w:p>
            <w:pPr>
              <w:spacing w:before="0" w:after="0"/>
              <w:jc w:val="left"/>
            </w:pPr>
            <w:r>
              <w:rPr>
                <w:color w:val="50565b"/>
                <w:sz w:val="20"/>
              </w:rPr>
              <w:t>IT Team</w:t>
            </w:r>
          </w:p>
        </w:tc>
      </w:tr>
      <w:tr>
        <w:trPr>
          <w:trHeight w:val="360" w:hRule="atLeast"/>
        </w:trPr>
        <w:tc>
          <w:tcPr>
            <w:tcW w:w="0" w:type="auto"/>
            <w:vAlign w:val="center"/>
          </w:tcPr>
          <w:p>
            <w:pPr>
              <w:spacing w:before="0" w:after="0"/>
              <w:jc w:val="left"/>
            </w:pPr>
            <w:r>
              <w:rPr>
                <w:color w:val="50565b"/>
                <w:sz w:val="20"/>
              </w:rPr>
              <w:t>May 2026</w:t>
            </w:r>
          </w:p>
        </w:tc>
        <w:tc>
          <w:tcPr>
            <w:tcW w:w="0" w:type="auto"/>
            <w:vAlign w:val="center"/>
          </w:tcPr>
          <w:p>
            <w:pPr>
              <w:spacing w:before="0" w:after="0"/>
              <w:jc w:val="left"/>
            </w:pPr>
            <w:r>
              <w:rPr>
                <w:color w:val="50565b"/>
                <w:sz w:val="20"/>
              </w:rPr>
              <w:t>Internal compliance audit</w:t>
            </w:r>
          </w:p>
        </w:tc>
        <w:tc>
          <w:tcPr>
            <w:tcW w:w="0" w:type="auto"/>
            <w:vAlign w:val="center"/>
          </w:tcPr>
          <w:p>
            <w:pPr>
              <w:spacing w:before="0" w:after="0"/>
              <w:jc w:val="left"/>
            </w:pPr>
            <w:r>
              <w:rPr>
                <w:color w:val="50565b"/>
                <w:sz w:val="20"/>
              </w:rPr>
              <w:t>ISO</w:t>
            </w:r>
          </w:p>
        </w:tc>
      </w:tr>
      <w:tr>
        <w:trPr>
          <w:trHeight w:val="360" w:hRule="atLeast"/>
        </w:trPr>
        <w:tc>
          <w:tcPr>
            <w:tcW w:w="0" w:type="auto"/>
            <w:vAlign w:val="center"/>
          </w:tcPr>
          <w:p>
            <w:pPr>
              <w:spacing w:before="0" w:after="0"/>
              <w:jc w:val="left"/>
            </w:pPr>
            <w:r>
              <w:rPr>
                <w:color w:val="50565b"/>
                <w:sz w:val="20"/>
              </w:rPr>
              <w:t>June 2026</w:t>
            </w:r>
          </w:p>
        </w:tc>
        <w:tc>
          <w:tcPr>
            <w:tcW w:w="0" w:type="auto"/>
            <w:vAlign w:val="center"/>
          </w:tcPr>
          <w:p>
            <w:pPr>
              <w:spacing w:before="0" w:after="0"/>
              <w:jc w:val="left"/>
            </w:pPr>
            <w:r>
              <w:rPr>
                <w:color w:val="50565b"/>
                <w:sz w:val="20"/>
              </w:rPr>
              <w:t>Final preparation and documentation</w:t>
            </w:r>
          </w:p>
        </w:tc>
        <w:tc>
          <w:tcPr>
            <w:tcW w:w="0" w:type="auto"/>
            <w:vAlign w:val="center"/>
          </w:tcPr>
          <w:p>
            <w:pPr>
              <w:spacing w:before="0" w:after="0"/>
              <w:jc w:val="left"/>
            </w:pPr>
            <w:r>
              <w:rPr>
                <w:color w:val="50565b"/>
                <w:sz w:val="20"/>
              </w:rPr>
              <w:t>ISO</w:t>
            </w:r>
          </w:p>
        </w:tc>
      </w:tr>
      <w:tr>
        <w:trPr>
          <w:trHeight w:val="360" w:hRule="atLeast"/>
        </w:trPr>
        <w:tc>
          <w:tcPr>
            <w:tcW w:w="0" w:type="auto"/>
            <w:vAlign w:val="center"/>
          </w:tcPr>
          <w:p>
            <w:pPr>
              <w:spacing w:before="0" w:after="0"/>
              <w:jc w:val="left"/>
            </w:pPr>
            <w:r>
              <w:rPr>
                <w:color w:val="50565b"/>
                <w:sz w:val="20"/>
              </w:rPr>
              <w:t>Per Commission</w:t>
            </w:r>
          </w:p>
        </w:tc>
        <w:tc>
          <w:tcPr>
            <w:tcW w:w="0" w:type="auto"/>
            <w:vAlign w:val="center"/>
          </w:tcPr>
          <w:p>
            <w:pPr>
              <w:spacing w:before="0" w:after="0"/>
              <w:jc w:val="left"/>
            </w:pPr>
            <w:r>
              <w:rPr>
                <w:color w:val="50565b"/>
                <w:sz w:val="20"/>
              </w:rPr>
              <w:t>COMPLIANCE DEADLINE</w:t>
            </w:r>
          </w:p>
        </w:tc>
        <w:tc>
          <w:tcPr>
            <w:tcW w:w="0" w:type="auto"/>
            <w:vAlign w:val="center"/>
          </w:tcPr>
          <w:p>
            <w:pPr>
              <w:spacing w:before="0" w:after="0"/>
              <w:jc w:val="left"/>
            </w:pPr>
            <w:r>
              <w:rPr>
                <w:color w:val="50565b"/>
                <w:sz w:val="20"/>
              </w:rPr>
              <w:t>All</w:t>
            </w:r>
          </w:p>
        </w:tc>
      </w:tr>
      <w:tr>
        <w:trPr>
          <w:trHeight w:val="360" w:hRule="atLeast"/>
        </w:trPr>
        <w:tc>
          <w:tcPr>
            <w:tcW w:w="0" w:type="auto"/>
            <w:vAlign w:val="center"/>
          </w:tcPr>
          <w:p>
            <w:pPr>
              <w:spacing w:before="0" w:after="0"/>
              <w:jc w:val="left"/>
            </w:pPr>
            <w:r>
              <w:rPr>
                <w:color w:val="50565b"/>
                <w:sz w:val="20"/>
              </w:rPr>
              <w:t>Per Commission</w:t>
            </w:r>
          </w:p>
        </w:tc>
        <w:tc>
          <w:tcPr>
            <w:tcW w:w="0" w:type="auto"/>
            <w:vAlign w:val="center"/>
          </w:tcPr>
          <w:p>
            <w:pPr>
              <w:spacing w:before="0" w:after="0"/>
              <w:jc w:val="left"/>
            </w:pPr>
            <w:r>
              <w:rPr>
                <w:color w:val="50565b"/>
                <w:sz w:val="20"/>
              </w:rPr>
              <w:t>Submit annual report to USBE</w:t>
            </w:r>
          </w:p>
        </w:tc>
        <w:tc>
          <w:tcPr>
            <w:tcW w:w="0" w:type="auto"/>
            <w:vAlign w:val="center"/>
          </w:tcPr>
          <w:p>
            <w:pPr>
              <w:spacing w:before="0" w:after="0"/>
              <w:jc w:val="left"/>
            </w:pPr>
            <w:r>
              <w:rPr>
                <w:color w:val="50565b"/>
                <w:sz w:val="20"/>
              </w:rPr>
              <w:t>ISO</w:t>
            </w:r>
          </w:p>
        </w:tc>
      </w:tr>
    </w:tbl>
    <w:p>
      <w:pPr>
        <w:pStyle w:val="Heading2"/>
      </w:pPr>
      <w:r>
        <w:t>Recurring Annual Activities</w:t>
      </w:r>
    </w:p>
    <w:p>
      <w:r>
        <w:rPr>
          <w:b/>
        </w:rPr>
        <w:t>Quarterly</w:t>
      </w:r>
      <w:r>
        <w:br/>
        <w:t>Vulnerability scans, access reviews, security committee meetings, phishing simulations</w:t>
      </w:r>
    </w:p>
    <w:p>
      <w:r>
        <w:rPr>
          <w:b/>
        </w:rPr>
        <w:t>Semi-Annually</w:t>
      </w:r>
      <w:r>
        <w:br/>
        <w:t>Incident response plan review, vendor security assessments, penetration testing (if applicable)</w:t>
      </w:r>
    </w:p>
    <w:p>
      <w:r>
        <w:rPr>
          <w:b/>
        </w:rPr>
        <w:t>Annually</w:t>
      </w:r>
      <w:r>
        <w:br/>
        <w:t>Risk assessment, security awareness training, compliance report to USBE (Nov 15), policy review and updates</w:t>
      </w:r>
    </w:p>
    <w:p>
      <w:pPr>
        <w:pStyle w:val="Heading1"/>
      </w:pPr>
      <w:bookmarkStart w:name="_Toc016" w:id="016"/>
      <w:r>
        <w:t>Frequently Asked Questions</w:t>
      </w:r>
      <w:bookmarkEnd w:id="016"/>
    </w:p>
    <w:p>
      <w:r>
        <w:t>This section addresses common questions from Utah LEAs regarding HB 44 implementation and compliance.</w:t>
      </w:r>
    </w:p>
    <w:p>
      <w:pPr>
        <w:spacing w:before="280" w:after="60"/>
      </w:pPr>
      <w:r>
        <w:rPr>
          <w:b/>
          <w:color w:val="002855"/>
        </w:rPr>
        <w:t>Q: Does HB 44 apply to charter schools?</w:t>
      </w:r>
    </w:p>
    <w:p>
      <w:pPr>
        <w:spacing w:after="160"/>
        <w:ind w:left="200"/>
      </w:pPr>
      <w:r>
        <w:t>A: Yes. HB 44 applies to all Local Education Agencies (LEAs) in Utah, which includes all 41 school districts, 140+ charter schools, and the Utah Schools for the Deaf and Blind.</w:t>
      </w:r>
    </w:p>
    <w:p>
      <w:pPr>
        <w:spacing w:before="280" w:after="60"/>
      </w:pPr>
      <w:r>
        <w:rPr>
          <w:b/>
          <w:color w:val="002855"/>
        </w:rPr>
        <w:t>Q: What if our district lacks cybersecurity expertise?</w:t>
      </w:r>
    </w:p>
    <w:p>
      <w:pPr>
        <w:spacing w:after="160"/>
        <w:ind w:left="200"/>
      </w:pPr>
      <w:r>
        <w:t>A: The Utah Cyber Alliance provides resources and guidance for organizations at all maturity levels. Consider partnering with regional cooperatives, engaging managed security service providers (MSSPs), or leveraging free resources from CISA and MS-ISAC.</w:t>
      </w:r>
    </w:p>
    <w:p>
      <w:pPr>
        <w:spacing w:before="280" w:after="60"/>
      </w:pPr>
      <w:r>
        <w:rPr>
          <w:b/>
          <w:color w:val="002855"/>
        </w:rPr>
        <w:t>Q: Are there penalties for non-compliance?</w:t>
      </w:r>
    </w:p>
    <w:p>
      <w:pPr>
        <w:spacing w:after="160"/>
        <w:ind w:left="200"/>
      </w:pPr>
      <w:r>
        <w:t>A: HB 44 establishes compliance requirements but does not specify penalties. However, non-compliance may affect funding eligibility and could result in increased liability in the event of a data breach.</w:t>
      </w:r>
    </w:p>
    <w:p>
      <w:pPr>
        <w:spacing w:before="280" w:after="60"/>
      </w:pPr>
      <w:r>
        <w:rPr>
          <w:b/>
          <w:color w:val="002855"/>
        </w:rPr>
        <w:t>Q: Can we use a different cybersecurity framework?</w:t>
      </w:r>
    </w:p>
    <w:p>
      <w:pPr>
        <w:spacing w:after="160"/>
        <w:ind w:left="200"/>
      </w:pPr>
      <w:r>
        <w:t>A: Yes. While NIST CSF and CIS Controls are explicitly mentioned, LEAs may implement equivalent frameworks that provide comparable security coverage. Document your framework choice and rationale.</w:t>
      </w:r>
    </w:p>
    <w:p>
      <w:pPr>
        <w:spacing w:before="280" w:after="60"/>
      </w:pPr>
      <w:r>
        <w:rPr>
          <w:b/>
          <w:color w:val="002855"/>
        </w:rPr>
        <w:t>Q: What constitutes a "significant" data breach?</w:t>
      </w:r>
    </w:p>
    <w:p>
      <w:pPr>
        <w:spacing w:after="160"/>
        <w:ind w:left="200"/>
      </w:pPr>
      <w:r>
        <w:t>A: Significant breaches include unauthorized access to PII affecting 500+ individuals, ransomware deployment, theft of unencrypted devices with student data, or any breach requiring notification under state or federal law.</w:t>
      </w:r>
    </w:p>
    <w:p>
      <w:pPr>
        <w:spacing w:before="280" w:after="60"/>
      </w:pPr>
      <w:r>
        <w:rPr>
          <w:b/>
          <w:color w:val="002855"/>
        </w:rPr>
        <w:t>Q: Do we need to hire a dedicated Information Security Officer?</w:t>
      </w:r>
    </w:p>
    <w:p>
      <w:pPr>
        <w:spacing w:after="160"/>
        <w:ind w:left="200"/>
      </w:pPr>
      <w:r>
        <w:t>A: Not necessarily. Small districts may designate an existing IT staff member as ISO. The key is having a designated individual accountable for cybersecurity program oversight.</w:t>
      </w:r>
    </w:p>
    <w:p>
      <w:pPr>
        <w:spacing w:before="280" w:after="60"/>
      </w:pPr>
      <w:r>
        <w:rPr>
          <w:b/>
          <w:color w:val="002855"/>
        </w:rPr>
        <w:t>Q: What if we can’t implement all controls by the Commission’s compliance deadline?</w:t>
      </w:r>
    </w:p>
    <w:p>
      <w:pPr>
        <w:spacing w:after="160"/>
        <w:ind w:left="200"/>
      </w:pPr>
      <w:r>
        <w:t>A: Document your implementation plan with timelines and priorities. Focus on highest-risk areas first. Contact USBE Security Office to discuss your situation and request guidance.</w:t>
      </w:r>
    </w:p>
    <w:p>
      <w:pPr>
        <w:spacing w:before="280" w:after="60"/>
      </w:pPr>
      <w:r>
        <w:rPr>
          <w:b/>
          <w:color w:val="002855"/>
        </w:rPr>
        <w:t>Q: Are there funding sources available for cybersecurity improvements?</w:t>
      </w:r>
    </w:p>
    <w:p>
      <w:pPr>
        <w:spacing w:after="160"/>
        <w:ind w:left="200"/>
      </w:pPr>
      <w:r>
        <w:t>A: E-Rate funding can support certain network security improvements. Some federal grants may be available. Check with USBE for state-level funding opportunities and consider prioritizing cybersecurity in your technology budget.</w:t>
      </w:r>
    </w:p>
    <w:p>
      <w:pPr>
        <w:spacing w:before="280" w:after="60"/>
      </w:pPr>
      <w:r>
        <w:rPr>
          <w:b/>
          <w:color w:val="002855"/>
        </w:rPr>
        <w:t>Q: How do we handle vendor security assessments?</w:t>
      </w:r>
    </w:p>
    <w:p>
      <w:pPr>
        <w:spacing w:after="160"/>
        <w:ind w:left="200"/>
      </w:pPr>
      <w:r>
        <w:t>A: Use the vendor assessment template in this guide. Focus on vendors with access to student data. Require security attestations, review certifications (SOC 2, ISO 27001), and include security requirements in contracts.</w:t>
      </w:r>
    </w:p>
    <w:p>
      <w:pPr>
        <w:spacing w:before="280" w:after="60"/>
      </w:pPr>
      <w:r>
        <w:rPr>
          <w:b/>
          <w:color w:val="002855"/>
        </w:rPr>
        <w:t>Q: What records do we need to maintain for compliance?</w:t>
      </w:r>
    </w:p>
    <w:p>
      <w:pPr>
        <w:spacing w:after="160"/>
        <w:ind w:left="200"/>
      </w:pPr>
      <w:r>
        <w:t>A: Maintain documentation of risk assessments, training completion, incident response activities, vendor assessments, and annual compliance reports for a minimum of three years.</w:t>
      </w:r>
    </w:p>
    <w:p>
      <w:pPr>
        <w:pStyle w:val="Heading1"/>
      </w:pPr>
      <w:bookmarkStart w:name="_Toc017" w:id="017"/>
      <w:r>
        <w:t>Contact &amp; Support</w:t>
      </w:r>
      <w:bookmarkEnd w:id="017"/>
    </w:p>
    <w:p>
      <w:r>
        <w:t>The Utah Cyber Alliance and partner organizations are available to support your HB 44 compliance efforts.</w:t>
      </w:r>
    </w:p>
    <w:p>
      <w:pPr>
        <w:pStyle w:val="Heading2"/>
      </w:pPr>
      <w:r>
        <w:t>Utah Cyber Alliance</w:t>
      </w:r>
    </w:p>
    <w:p>
      <w:r>
        <w:rPr>
          <w:b/>
        </w:rPr>
        <w:t xml:space="preserve">Website: </w:t>
      </w:r>
      <w:r>
        <w:t>utahcyberalliance.org</w:t>
        <w:br/>
      </w:r>
      <w:r>
        <w:rPr>
          <w:b/>
        </w:rPr>
        <w:t xml:space="preserve">Email: </w:t>
      </w:r>
      <w:r>
        <w:t>support@utahcyberalliance.org</w:t>
        <w:br/>
      </w:r>
      <w:r>
        <w:rPr>
          <w:b/>
        </w:rPr>
        <w:t xml:space="preserve">Phone: </w:t>
      </w:r>
      <w:r>
        <w:t>(801) 555-CYBER</w:t>
        <w:br/>
      </w:r>
      <w:r>
        <w:rPr>
          <w:b/>
        </w:rPr>
        <w:t xml:space="preserve">Services: </w:t>
      </w:r>
      <w:r>
        <w:t>Compliance guidance, framework implementation support, training resources</w:t>
      </w:r>
    </w:p>
    <w:p>
      <w:pPr>
        <w:pStyle w:val="Heading2"/>
      </w:pPr>
      <w:r>
        <w:t>Utah State Board of Education</w:t>
      </w:r>
    </w:p>
    <w:p>
      <w:r>
        <w:rPr>
          <w:b/>
        </w:rPr>
        <w:t xml:space="preserve">Security Office: </w:t>
      </w:r>
      <w:r>
        <w:t>security@schools.utah.gov</w:t>
        <w:br/>
      </w:r>
      <w:r>
        <w:rPr>
          <w:b/>
        </w:rPr>
        <w:t xml:space="preserve">Website: </w:t>
      </w:r>
      <w:r>
        <w:t>schools.utah.gov/security</w:t>
        <w:br/>
      </w:r>
      <w:r>
        <w:rPr>
          <w:b/>
        </w:rPr>
        <w:t xml:space="preserve">Services: </w:t>
      </w:r>
      <w:r>
        <w:t>Compliance reporting, policy guidance, incident notification</w:t>
      </w:r>
    </w:p>
    <w:p>
      <w:pPr>
        <w:pStyle w:val="Heading2"/>
      </w:pPr>
      <w:r>
        <w:t>Utah Cyber Center</w:t>
      </w:r>
    </w:p>
    <w:p>
      <w:r>
        <w:rPr>
          <w:b/>
        </w:rPr>
        <w:t xml:space="preserve">Incident Reporting: </w:t>
      </w:r>
      <w:r>
        <w:t>incident@utahcybercenter.org</w:t>
        <w:br/>
      </w:r>
      <w:r>
        <w:rPr>
          <w:b/>
        </w:rPr>
        <w:t xml:space="preserve">Website: </w:t>
      </w:r>
      <w:r>
        <w:t>utahcybercenter.org</w:t>
        <w:br/>
      </w:r>
      <w:r>
        <w:rPr>
          <w:b/>
        </w:rPr>
        <w:t xml:space="preserve">Services: </w:t>
      </w:r>
      <w:r>
        <w:t>Incident response coordination, threat intelligence, security advisories</w:t>
      </w:r>
    </w:p>
    <w:p>
      <w:pPr>
        <w:pStyle w:val="Heading2"/>
      </w:pPr>
      <w:r>
        <w:t>MS-ISAC (Multi-State ISAC)</w:t>
      </w:r>
    </w:p>
    <w:p>
      <w:r>
        <w:rPr>
          <w:b/>
        </w:rPr>
        <w:t xml:space="preserve">Security Operations Center: </w:t>
      </w:r>
      <w:r>
        <w:t>soc@msisac.org</w:t>
        <w:br/>
      </w:r>
      <w:r>
        <w:rPr>
          <w:b/>
        </w:rPr>
        <w:t xml:space="preserve">24/7 Hotline: </w:t>
      </w:r>
      <w:r>
        <w:t>(866) 787-4722</w:t>
        <w:br/>
      </w:r>
      <w:r>
        <w:rPr>
          <w:b/>
        </w:rPr>
        <w:t xml:space="preserve">Website: </w:t>
      </w:r>
      <w:r>
        <w:t>msisac.org</w:t>
        <w:br/>
      </w:r>
      <w:r>
        <w:rPr>
          <w:b/>
        </w:rPr>
        <w:t xml:space="preserve">Services: </w:t>
      </w:r>
      <w:r>
        <w:t>Free to Utah LEAs - vulnerability scanning, incident response, security tools</w:t>
      </w:r>
    </w:p>
    <w:p>
      <w:pPr>
        <w:pBdr>
          <w:left w:val="single" w:color="f05023" w:sz="24"/>
        </w:pBdr>
        <w:shd w:val="clear" w:fill="fff0eb"/>
        <w:spacing w:before="200" w:after="200"/>
        <w:ind w:left="200" w:right="200"/>
      </w:pPr>
      <w:r>
        <w:rPr>
          <w:b/>
          <w:color w:val="f05023"/>
          <w:sz w:val="20"/>
        </w:rPr>
        <w:t>INCIDENT REPORTING HOTLINE</w:t>
      </w:r>
      <w:r>
        <w:br/>
      </w:r>
      <w:r>
        <w:rPr>
          <w:color w:val="50565b"/>
          <w:sz w:val="20"/>
        </w:rPr>
        <w:t>For active security incidents requiring immediate assistance:</w:t>
      </w:r>
      <w:r>
        <w:br/>
      </w:r>
      <w:r>
        <w:rPr>
          <w:color w:val="50565b"/>
          <w:sz w:val="20"/>
        </w:rPr>
        <w:t>MS-ISAC SOC: (866) 787-4722 (24/7)</w:t>
      </w:r>
      <w:r>
        <w:br/>
      </w:r>
      <w:r>
        <w:rPr>
          <w:color w:val="50565b"/>
          <w:sz w:val="20"/>
        </w:rPr>
        <w:t>USBE Security: security@schools.utah.gov</w:t>
      </w:r>
      <w:r>
        <w:br/>
      </w:r>
      <w:r>
        <w:rPr>
          <w:color w:val="50565b"/>
          <w:sz w:val="20"/>
        </w:rPr>
        <w:t>Utah Cyber Center: incident@utahcybercenter.org</w:t>
      </w:r>
    </w:p>
    <w:p>
      <w:pPr>
        <w:sectPr>
          <w:headerReference w:type="default" r:id="R01afcdf860774d82"/>
          <w:footerReference w:type="default" r:id="R7c2fe4ef7d8f4cf5"/>
          <w:type w:val="nextPage"/>
          <w:pgSz w:w="11906" w:h="16838"/>
          <w:pgMar w:top="1800" w:right="1440" w:bottom="1440" w:left="1440" w:header="720" w:footer="720"/>
        </w:sectPr>
      </w:pPr>
    </w:p>
    <w:p>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0000" cy="10692000"/>
            <wp:effectExtent l="0" t="0" r="0" b="0"/>
            <wp:wrapNone/>
            <wp:docPr id="3" name="BackcoverBackground"/>
            <wp:cNvGraphicFramePr>
              <a:graphicFrameLocks noChangeAspect="1"/>
            </wp:cNvGraphicFramePr>
            <a:graphic>
              <a:graphicData uri="http://schemas.openxmlformats.org/drawingml/2006/picture">
                <pic:pic>
                  <pic:nvPicPr>
                    <pic:cNvPr id="0" name="BackcoverBackground.png"/>
                    <pic:cNvPicPr/>
                  </pic:nvPicPr>
                  <pic:blipFill>
                    <a:blip r:embed="R99e8faf883f94525"/>
                    <a:stretch>
                      <a:fillRect/>
                    </a:stretch>
                  </pic:blipFill>
                  <pic:spPr>
                    <a:xfrm>
                      <a:off x="0" y="0"/>
                      <a:ext cx="7560000" cy="10692000"/>
                    </a:xfrm>
                    <a:prstGeom prst="rect"/>
                  </pic:spPr>
                </pic:pic>
              </a:graphicData>
            </a:graphic>
          </wp:anchor>
        </w:drawing>
      </w:r>
    </w:p>
    <w:p>
      <w:pPr>
        <w:spacing w:before="7000"/>
      </w:pPr>
      <w:r/>
    </w:p>
    <w:p>
      <w:pPr>
        <w:spacing w:after="400"/>
        <w:jc w:val="center"/>
      </w:pPr>
      <w:r>
        <w:rPr>
          <w:b/>
          <w:color w:val="ffffff"/>
          <w:sz w:val="44"/>
        </w:rPr>
        <w:t>Utah Cyber Alliance</w:t>
      </w:r>
    </w:p>
    <w:p>
      <w:pPr>
        <w:spacing w:after="200"/>
        <w:jc w:val="center"/>
      </w:pPr>
      <w:r>
        <w:rPr>
          <w:color w:val="b39700"/>
          <w:sz w:val="22"/>
        </w:rPr>
        <w:t>Securing Utah's Digital Future</w:t>
      </w:r>
    </w:p>
    <w:p>
      <w:pPr>
        <w:spacing w:before="2000"/>
      </w:pPr>
      <w:r/>
    </w:p>
    <w:p>
      <w:pPr>
        <w:spacing w:after="120"/>
        <w:jc w:val="center"/>
      </w:pPr>
      <w:r>
        <w:rPr>
          <w:color w:val="aaaaaa"/>
          <w:sz w:val="18"/>
        </w:rPr>
        <w:t>utahcyberalliance.org</w:t>
      </w:r>
    </w:p>
    <w:p>
      <w:pPr>
        <w:spacing w:after="120"/>
        <w:jc w:val="center"/>
      </w:pPr>
      <w:r>
        <w:rPr>
          <w:color w:val="888888"/>
          <w:sz w:val="18"/>
        </w:rPr>
        <w:t>support@utahcyberalliance.org</w:t>
      </w:r>
    </w:p>
    <w:p>
      <w:pPr>
        <w:jc w:val="center"/>
      </w:pPr>
      <w:r>
        <w:rPr>
          <w:color w:val="666666"/>
          <w:sz w:val="16"/>
        </w:rPr>
        <w:t>© 2026 Utah Cyber Alliance. All rights reserved.</w:t>
      </w:r>
    </w:p>
    <w:sectPr>
      <w:pgSz w:w="11906" w:h="16838"/>
      <w:pgMar w:top="0" w:right="0" w:bottom="0" w:left="0" w:header="0" w:footer="0"/>
    </w:sectPr>
  </w:body>
</w:document>
</file>

<file path=word/footer1.xml><?xml version="1.0" encoding="utf-8"?>
<w:ftr xmlns:w="http://schemas.openxmlformats.org/wordprocessingml/2006/main">
  <w:p>
    <w:pPr>
      <w:jc w:val="center"/>
    </w:pPr>
    <w:r>
      <w:rPr>
        <w:color w:val="50565b"/>
        <w:sz w:val="20"/>
      </w:rPr>
      <w:fldChar w:fldCharType="begin"/>
      <w:instrText xml:space="preserve"> PAGE </w:instrText>
      <w:fldChar w:fldCharType="separate"/>
      <w:t>1</w:t>
      <w:fldChar w:fldCharType="end"/>
    </w:r>
    <w:r>
      <w:t xml:space="preserve"> / </w:t>
    </w:r>
    <w:r>
      <w:rPr>
        <w:color w:val="50565b"/>
        <w:sz w:val="20"/>
      </w:rPr>
      <w:fldChar w:fldCharType="begin"/>
      <w:instrText xml:space="preserve"> NUMPAGES </w:instrText>
      <w:fldChar w:fldCharType="separate"/>
      <w:t>1</w:t>
      <w:fldChar w:fldCharType="end"/>
    </w:r>
  </w:p>
</w:ftr>
</file>

<file path=word/header1.xml><?xml version="1.0" encoding="utf-8"?>
<w:hdr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p>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0000" cy="10692000"/>
          <wp:effectExtent l="0" t="0" r="0" b="0"/>
          <wp:wrapNone/>
          <wp:docPr id="2" name="BodyBackground"/>
          <wp:cNvGraphicFramePr>
            <a:graphicFrameLocks noChangeAspect="1"/>
          </wp:cNvGraphicFramePr>
          <a:graphic>
            <a:graphicData uri="http://schemas.openxmlformats.org/drawingml/2006/picture">
              <pic:pic>
                <pic:nvPicPr>
                  <pic:cNvPr id="0" name="BodyBackground.png"/>
                  <pic:cNvPicPr/>
                </pic:nvPicPr>
                <pic:blipFill>
                  <a:blip r:embed="R19d760da599f4c07"/>
                  <a:stretch>
                    <a:fillRect/>
                  </a:stretch>
                </pic:blipFill>
                <pic:spPr>
                  <a:xfrm>
                    <a:off x="0" y="0"/>
                    <a:ext cx="7560000" cy="10692000"/>
                  </a:xfrm>
                  <a:prstGeom prst="rect"/>
                </pic:spPr>
              </pic:pic>
            </a:graphicData>
          </a:graphic>
        </wp:anchor>
      </w:drawing>
    </w:r>
  </w:p>
  <w:p>
    <w:pPr>
      <w:spacing w:before="0" w:after="0"/>
      <w:jc w:val="right"/>
    </w:pPr>
    <w:r>
      <w:rPr>
        <w:color w:val="002855"/>
        <w:sz w:val="18"/>
      </w:rPr>
      <w:t>Utah HB 44</w:t>
    </w:r>
    <w:r>
      <w:rPr>
        <w:color w:val="f05023"/>
        <w:sz w:val="18"/>
      </w:rPr>
      <w:t xml:space="preserve">  |  </w:t>
    </w:r>
    <w:r>
      <w:rPr>
        <w:color w:val="50565b"/>
        <w:sz w:val="18"/>
      </w:rPr>
      <w:t>Implementation Guide</w:t>
    </w:r>
  </w:p>
</w:hdr>
</file>

<file path=word/numbering.xml><?xml version="1.0" encoding="utf-8"?>
<w:numbering xmlns:w="http://schemas.openxmlformats.org/wordprocessingml/2006/main">
  <w:abstractNum w:abstractNumId="1">
    <w:lvl w:ilvl="0">
      <w:numFmt w:val="bullet"/>
      <w:lvlText w:val="✓"/>
      <w:lvlJc w:val="left"/>
      <w:pPr>
        <w:ind w:left="720" w:hanging="360"/>
      </w:pPr>
      <w:rPr>
        <w:rFonts w:ascii="Segoe UI Symbol" w:hAnsi="Segoe UI Symbol"/>
      </w:rPr>
    </w:lvl>
  </w:abstractNum>
  <w:abstractNum w:abstractNumId="2">
    <w:lvl w:ilvl="0">
      <w:numFmt w:val="decimal"/>
      <w:lvlText w:val="%1."/>
      <w:lvlJc w:val="left"/>
      <w:pPr>
        <w:ind w:left="720" w:hanging="360"/>
      </w:pPr>
    </w:lvl>
  </w:abstractNum>
  <w:num w:numId="1">
    <w:abstractNumId w:val="1"/>
  </w:num>
  <w:num w:numId="2">
    <w:abstractNumId w:val="2"/>
  </w:num>
</w:numbering>
</file>

<file path=word/settings.xml><?xml version="1.0" encoding="utf-8"?>
<w:settings xmlns:w="http://schemas.openxmlformats.org/wordprocessingml/2006/main">
  <w:displayBackgroundShape/>
  <w:updateFields w:val="true"/>
</w:settings>
</file>

<file path=word/styles.xml><?xml version="1.0" encoding="utf-8"?>
<w:styles xmlns:w="http://schemas.openxmlformats.org/wordprocessingml/2006/main">
  <w:style w:type="paragraph" w:styleId="Normal" w:default="true">
    <w:name w:val="Normal"/>
    <w:pPr>
      <w:spacing w:after="200" w:line="288" w:lineRule="auto"/>
    </w:pPr>
    <w:rPr>
      <w:rFonts w:ascii="Calibri" w:hAnsi="Calibri" w:eastAsia="Microsoft YaHei"/>
      <w:color w:val="50565b"/>
      <w:sz w:val="22"/>
    </w:rPr>
  </w:style>
  <w:style w:type="paragraph" w:styleId="Heading1">
    <w:name w:val="heading 1"/>
    <w:basedOn w:val="Normal"/>
    <w:pPr>
      <w:keepNext/>
      <w:keepLines/>
      <w:pageBreakBefore/>
      <w:spacing w:before="400" w:after="240" w:line="240" w:lineRule="auto"/>
      <w:outlineLvl w:val="0"/>
    </w:pPr>
    <w:rPr>
      <w:b/>
      <w:color w:val="002855"/>
      <w:sz w:val="40"/>
    </w:rPr>
  </w:style>
  <w:style w:type="paragraph" w:styleId="Heading2">
    <w:name w:val="heading 2"/>
    <w:basedOn w:val="Normal"/>
    <w:pPr>
      <w:keepNext/>
      <w:keepLines/>
      <w:spacing w:before="360" w:after="160"/>
      <w:outlineLvl w:val="1"/>
    </w:pPr>
    <w:rPr>
      <w:b/>
      <w:color w:val="002855"/>
      <w:sz w:val="28"/>
    </w:rPr>
  </w:style>
  <w:style w:type="paragraph" w:styleId="Heading3">
    <w:name w:val="heading 3"/>
    <w:basedOn w:val="Normal"/>
    <w:pPr>
      <w:keepNext/>
      <w:keepLines/>
      <w:spacing w:before="280" w:after="120"/>
      <w:outlineLvl w:val="2"/>
    </w:pPr>
    <w:rPr>
      <w:b/>
      <w:color w:val="50565b"/>
      <w:sz w:val="24"/>
    </w:rPr>
  </w:style>
  <w:style w:type="paragraph" w:styleId="Caption">
    <w:name w:val="Caption"/>
    <w:basedOn w:val="Normal"/>
    <w:pPr>
      <w:keepLines/>
      <w:spacing w:before="60" w:after="300"/>
      <w:jc w:val="center"/>
    </w:pPr>
    <w:rPr>
      <w:i/>
      <w:color w:val="50565b"/>
      <w:sz w:val="20"/>
    </w:rPr>
  </w:style>
  <w:style w:type="paragraph" w:styleId="TOC1">
    <w:name w:val="toc 1"/>
    <w:basedOn w:val="Normal"/>
    <w:pPr>
      <w:tabs>
        <w:tab w:val="right" w:leader="dot" w:pos="9350"/>
      </w:tabs>
      <w:spacing w:before="200" w:after="60"/>
    </w:pPr>
    <w:rPr>
      <w:b/>
      <w:color w:val="002855"/>
    </w:rPr>
  </w:style>
  <w:style w:type="paragraph" w:styleId="TOC2">
    <w:name w:val="toc 2"/>
    <w:basedOn w:val="Normal"/>
    <w:pPr>
      <w:tabs>
        <w:tab w:val="right" w:leader="dot" w:pos="9350"/>
      </w:tabs>
      <w:spacing w:before="60" w:after="60"/>
      <w:ind w:left="360"/>
    </w:pPr>
    <w:rPr>
      <w:color w:val="50565b"/>
    </w:rPr>
  </w:style>
  <w:style w:type="paragraph" w:styleId="Callout">
    <w:name w:val="Callout"/>
    <w:basedOn w:val="Normal"/>
    <w:pPr>
      <w:spacing w:before="120" w:after="120"/>
      <w:ind w:left="200" w:right="200"/>
    </w:pPr>
    <w:rPr>
      <w:color w:val="50565b"/>
      <w:sz w:val="21"/>
    </w:rPr>
  </w:style>
</w:styles>
</file>

<file path=word/_rels/document.xml.rels><?xml version="1.0" encoding="UTF-8"?><Relationships xmlns="http://schemas.openxmlformats.org/package/2006/relationships"><Relationship Type="http://schemas.openxmlformats.org/officeDocument/2006/relationships/styles" Target="/word/styles.xml" Id="Reeaa5d33cccc40dd"/><Relationship Type="http://schemas.openxmlformats.org/officeDocument/2006/relationships/numbering" Target="/word/numbering.xml" Id="Rf07b785092244aaa"/><Relationship Type="http://schemas.openxmlformats.org/officeDocument/2006/relationships/image" Target="/media/image.png" Id="Rf5ce38dd64df4e25"/><Relationship Type="http://schemas.openxmlformats.org/officeDocument/2006/relationships/image" Target="/media/image2.png" Id="Rf7b7ffa7b7244a98"/><Relationship Type="http://schemas.openxmlformats.org/officeDocument/2006/relationships/image" Target="/media/image3.png" Id="R99e8faf883f94525"/><Relationship Type="http://schemas.openxmlformats.org/officeDocument/2006/relationships/header" Target="/word/header1.xml" Id="R01afcdf860774d82"/><Relationship Type="http://schemas.openxmlformats.org/officeDocument/2006/relationships/footer" Target="/word/footer1.xml" Id="R7c2fe4ef7d8f4cf5"/><Relationship Type="http://schemas.openxmlformats.org/officeDocument/2006/relationships/settings" Target="/word/settings.xml" Id="R0f9cea17ee5f406e"/></Relationships>
</file>

<file path=word/_rels/header1.xml.rels><?xml version="1.0" encoding="UTF-8"?><Relationships xmlns="http://schemas.openxmlformats.org/package/2006/relationships"><Relationship Type="http://schemas.openxmlformats.org/officeDocument/2006/relationships/image" Target="/media/image4.png" Id="R19d760da599f4c07"/></Relationships>
</file>